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16463D">
      <w:pPr>
        <w:keepNext w:val="0"/>
        <w:keepLines w:val="0"/>
        <w:pageBreakBefore w:val="0"/>
        <w:widowControl/>
        <w:kinsoku w:val="0"/>
        <w:wordWrap/>
        <w:overflowPunct/>
        <w:topLinePunct w:val="0"/>
        <w:autoSpaceDE/>
        <w:autoSpaceDN/>
        <w:bidi w:val="0"/>
        <w:adjustRightInd w:val="0"/>
        <w:snapToGrid w:val="0"/>
        <w:spacing w:before="0" w:beforeLines="100" w:line="360" w:lineRule="auto"/>
        <w:ind w:left="0" w:leftChars="0" w:firstLine="0" w:firstLineChars="0"/>
        <w:jc w:val="center"/>
        <w:textAlignment w:val="baseline"/>
        <w:outlineLvl w:val="9"/>
        <w:rPr>
          <w:rFonts w:hint="default" w:ascii="Times New Roman" w:hAnsi="Times New Roman" w:eastAsia="宋体" w:cs="Times New Roman"/>
          <w:color w:val="auto"/>
          <w:spacing w:val="11"/>
          <w:sz w:val="43"/>
          <w:szCs w:val="43"/>
          <w:lang w:eastAsia="zh-CN"/>
          <w14:textOutline w14:w="7968" w14:cap="flat" w14:cmpd="sng">
            <w14:solidFill>
              <w14:srgbClr w14:val="000000"/>
            </w14:solidFill>
            <w14:prstDash w14:val="solid"/>
            <w14:miter w14:val="0"/>
          </w14:textOutline>
        </w:rPr>
      </w:pPr>
      <w:bookmarkStart w:id="0" w:name="_Toc24950"/>
      <w:r>
        <w:rPr>
          <w:rFonts w:hint="default" w:ascii="Times New Roman" w:hAnsi="Times New Roman" w:eastAsia="宋体" w:cs="Times New Roman"/>
          <w:color w:val="auto"/>
          <w:spacing w:val="10"/>
          <w:sz w:val="43"/>
          <w:szCs w:val="43"/>
          <w14:textOutline w14:w="7968" w14:cap="flat" w14:cmpd="sng">
            <w14:solidFill>
              <w14:srgbClr w14:val="000000"/>
            </w14:solidFill>
            <w14:prstDash w14:val="solid"/>
            <w14:miter w14:val="0"/>
          </w14:textOutline>
        </w:rPr>
        <w:t>福州市红庙岭垃圾焚烧发电厂飞灰稳定化预处理扩</w:t>
      </w:r>
      <w:r>
        <w:rPr>
          <w:rFonts w:hint="default" w:ascii="Times New Roman" w:hAnsi="Times New Roman" w:eastAsia="宋体" w:cs="Times New Roman"/>
          <w:color w:val="auto"/>
          <w:spacing w:val="11"/>
          <w:sz w:val="43"/>
          <w:szCs w:val="43"/>
          <w14:textOutline w14:w="7968" w14:cap="flat" w14:cmpd="sng">
            <w14:solidFill>
              <w14:srgbClr w14:val="000000"/>
            </w14:solidFill>
            <w14:prstDash w14:val="solid"/>
            <w14:miter w14:val="0"/>
          </w14:textOutline>
        </w:rPr>
        <w:t>建工程</w:t>
      </w:r>
      <w:r>
        <w:rPr>
          <w:rFonts w:hint="default" w:ascii="Times New Roman" w:hAnsi="Times New Roman" w:eastAsia="Times New Roman" w:cs="Times New Roman"/>
          <w:b/>
          <w:bCs/>
          <w:color w:val="auto"/>
          <w:sz w:val="43"/>
          <w:szCs w:val="43"/>
        </w:rPr>
        <w:t>BOT</w:t>
      </w:r>
      <w:r>
        <w:rPr>
          <w:rFonts w:hint="default" w:ascii="Times New Roman" w:hAnsi="Times New Roman" w:eastAsia="宋体" w:cs="Times New Roman"/>
          <w:color w:val="auto"/>
          <w:spacing w:val="11"/>
          <w:sz w:val="43"/>
          <w:szCs w:val="43"/>
          <w14:textOutline w14:w="7968" w14:cap="flat" w14:cmpd="sng">
            <w14:solidFill>
              <w14:srgbClr w14:val="000000"/>
            </w14:solidFill>
            <w14:prstDash w14:val="solid"/>
            <w14:miter w14:val="0"/>
          </w14:textOutline>
        </w:rPr>
        <w:t>项目</w:t>
      </w:r>
      <w:r>
        <w:rPr>
          <w:rFonts w:hint="default" w:ascii="Times New Roman" w:hAnsi="Times New Roman" w:eastAsia="宋体" w:cs="Times New Roman"/>
          <w:color w:val="auto"/>
          <w:spacing w:val="11"/>
          <w:sz w:val="43"/>
          <w:szCs w:val="43"/>
          <w:lang w:eastAsia="zh-CN"/>
          <w14:textOutline w14:w="7968" w14:cap="flat" w14:cmpd="sng">
            <w14:solidFill>
              <w14:srgbClr w14:val="000000"/>
            </w14:solidFill>
            <w14:prstDash w14:val="solid"/>
            <w14:miter w14:val="0"/>
          </w14:textOutline>
        </w:rPr>
        <w:t>（二期）</w:t>
      </w:r>
    </w:p>
    <w:bookmarkEnd w:id="0"/>
    <w:p w14:paraId="1661C17D">
      <w:pPr>
        <w:keepNext w:val="0"/>
        <w:keepLines w:val="0"/>
        <w:pageBreakBefore w:val="0"/>
        <w:widowControl/>
        <w:kinsoku w:val="0"/>
        <w:wordWrap/>
        <w:overflowPunct/>
        <w:topLinePunct w:val="0"/>
        <w:autoSpaceDE/>
        <w:autoSpaceDN/>
        <w:bidi w:val="0"/>
        <w:adjustRightInd w:val="0"/>
        <w:snapToGrid w:val="0"/>
        <w:spacing w:before="0" w:line="360" w:lineRule="auto"/>
        <w:ind w:left="0" w:leftChars="0" w:firstLine="0" w:firstLineChars="0"/>
        <w:jc w:val="center"/>
        <w:textAlignment w:val="baseline"/>
        <w:outlineLvl w:val="9"/>
        <w:rPr>
          <w:rFonts w:hint="default" w:ascii="Times New Roman" w:hAnsi="Times New Roman" w:eastAsia="宋体" w:cs="Times New Roman"/>
          <w:color w:val="auto"/>
          <w:spacing w:val="10"/>
          <w:sz w:val="43"/>
          <w:szCs w:val="43"/>
          <w14:textOutline w14:w="7968" w14:cap="flat" w14:cmpd="sng">
            <w14:solidFill>
              <w14:srgbClr w14:val="000000"/>
            </w14:solidFill>
            <w14:prstDash w14:val="solid"/>
            <w14:miter w14:val="0"/>
          </w14:textOutline>
        </w:rPr>
      </w:pPr>
      <w:r>
        <w:rPr>
          <w:rFonts w:hint="default" w:ascii="Times New Roman" w:hAnsi="Times New Roman" w:cs="Times New Roman"/>
          <w:color w:val="auto"/>
          <w:spacing w:val="11"/>
          <w:sz w:val="43"/>
          <w:szCs w:val="43"/>
          <w:lang w:val="en-US" w:eastAsia="zh-CN"/>
          <w14:textOutline w14:w="7968" w14:cap="flat" w14:cmpd="sng">
            <w14:solidFill>
              <w14:srgbClr w14:val="000000"/>
            </w14:solidFill>
            <w14:prstDash w14:val="solid"/>
            <w14:miter w14:val="0"/>
          </w14:textOutline>
        </w:rPr>
        <w:t>竣工环境保护验收监测报告（阶段性）</w:t>
      </w:r>
    </w:p>
    <w:p w14:paraId="3DC00D94">
      <w:pPr>
        <w:keepNext w:val="0"/>
        <w:keepLines w:val="0"/>
        <w:pageBreakBefore w:val="0"/>
        <w:widowControl/>
        <w:kinsoku w:val="0"/>
        <w:wordWrap/>
        <w:overflowPunct/>
        <w:topLinePunct w:val="0"/>
        <w:autoSpaceDE/>
        <w:autoSpaceDN/>
        <w:bidi w:val="0"/>
        <w:adjustRightInd w:val="0"/>
        <w:snapToGrid w:val="0"/>
        <w:spacing w:line="255" w:lineRule="auto"/>
        <w:textAlignment w:val="baseline"/>
        <w:outlineLvl w:val="9"/>
        <w:rPr>
          <w:rFonts w:hint="default" w:ascii="Times New Roman" w:hAnsi="Times New Roman" w:cs="Times New Roman"/>
          <w:color w:val="auto"/>
        </w:rPr>
      </w:pPr>
    </w:p>
    <w:p w14:paraId="7037AE1F">
      <w:pPr>
        <w:keepNext w:val="0"/>
        <w:keepLines w:val="0"/>
        <w:pageBreakBefore w:val="0"/>
        <w:widowControl/>
        <w:kinsoku w:val="0"/>
        <w:wordWrap/>
        <w:overflowPunct/>
        <w:topLinePunct w:val="0"/>
        <w:autoSpaceDE/>
        <w:autoSpaceDN/>
        <w:bidi w:val="0"/>
        <w:adjustRightInd w:val="0"/>
        <w:snapToGrid w:val="0"/>
        <w:spacing w:line="255" w:lineRule="auto"/>
        <w:textAlignment w:val="baseline"/>
        <w:outlineLvl w:val="9"/>
        <w:rPr>
          <w:rFonts w:hint="default" w:ascii="Times New Roman" w:hAnsi="Times New Roman" w:cs="Times New Roman"/>
          <w:color w:val="auto"/>
        </w:rPr>
      </w:pPr>
    </w:p>
    <w:p w14:paraId="23FCF466">
      <w:pPr>
        <w:keepNext w:val="0"/>
        <w:keepLines w:val="0"/>
        <w:pageBreakBefore w:val="0"/>
        <w:widowControl/>
        <w:kinsoku w:val="0"/>
        <w:wordWrap/>
        <w:overflowPunct/>
        <w:topLinePunct w:val="0"/>
        <w:autoSpaceDE/>
        <w:autoSpaceDN/>
        <w:bidi w:val="0"/>
        <w:adjustRightInd w:val="0"/>
        <w:snapToGrid w:val="0"/>
        <w:spacing w:line="255" w:lineRule="auto"/>
        <w:textAlignment w:val="baseline"/>
        <w:outlineLvl w:val="9"/>
        <w:rPr>
          <w:rFonts w:hint="default" w:ascii="Times New Roman" w:hAnsi="Times New Roman" w:cs="Times New Roman"/>
          <w:color w:val="auto"/>
        </w:rPr>
      </w:pPr>
    </w:p>
    <w:p w14:paraId="3A68026A">
      <w:pPr>
        <w:keepNext w:val="0"/>
        <w:keepLines w:val="0"/>
        <w:pageBreakBefore w:val="0"/>
        <w:widowControl/>
        <w:kinsoku w:val="0"/>
        <w:wordWrap/>
        <w:overflowPunct/>
        <w:topLinePunct w:val="0"/>
        <w:autoSpaceDE/>
        <w:autoSpaceDN/>
        <w:bidi w:val="0"/>
        <w:adjustRightInd w:val="0"/>
        <w:snapToGrid w:val="0"/>
        <w:spacing w:line="255" w:lineRule="auto"/>
        <w:textAlignment w:val="baseline"/>
        <w:outlineLvl w:val="9"/>
        <w:rPr>
          <w:rFonts w:hint="default" w:ascii="Times New Roman" w:hAnsi="Times New Roman" w:cs="Times New Roman"/>
          <w:color w:val="auto"/>
        </w:rPr>
      </w:pPr>
    </w:p>
    <w:p w14:paraId="70BFC79A">
      <w:pPr>
        <w:keepNext w:val="0"/>
        <w:keepLines w:val="0"/>
        <w:pageBreakBefore w:val="0"/>
        <w:widowControl/>
        <w:kinsoku w:val="0"/>
        <w:wordWrap/>
        <w:overflowPunct/>
        <w:topLinePunct w:val="0"/>
        <w:autoSpaceDE/>
        <w:autoSpaceDN/>
        <w:bidi w:val="0"/>
        <w:adjustRightInd w:val="0"/>
        <w:snapToGrid w:val="0"/>
        <w:spacing w:line="255" w:lineRule="auto"/>
        <w:textAlignment w:val="baseline"/>
        <w:outlineLvl w:val="9"/>
        <w:rPr>
          <w:rFonts w:hint="default" w:ascii="Times New Roman" w:hAnsi="Times New Roman" w:cs="Times New Roman"/>
          <w:color w:val="auto"/>
        </w:rPr>
      </w:pPr>
    </w:p>
    <w:p w14:paraId="54A8AD6A">
      <w:pPr>
        <w:keepNext w:val="0"/>
        <w:keepLines w:val="0"/>
        <w:pageBreakBefore w:val="0"/>
        <w:widowControl/>
        <w:kinsoku w:val="0"/>
        <w:wordWrap/>
        <w:overflowPunct/>
        <w:topLinePunct w:val="0"/>
        <w:autoSpaceDE/>
        <w:autoSpaceDN/>
        <w:bidi w:val="0"/>
        <w:adjustRightInd w:val="0"/>
        <w:snapToGrid w:val="0"/>
        <w:spacing w:line="255" w:lineRule="auto"/>
        <w:textAlignment w:val="baseline"/>
        <w:outlineLvl w:val="9"/>
        <w:rPr>
          <w:rFonts w:hint="default" w:ascii="Times New Roman" w:hAnsi="Times New Roman" w:cs="Times New Roman"/>
          <w:color w:val="auto"/>
        </w:rPr>
      </w:pPr>
    </w:p>
    <w:p w14:paraId="1DA61E25">
      <w:pPr>
        <w:keepNext w:val="0"/>
        <w:keepLines w:val="0"/>
        <w:pageBreakBefore w:val="0"/>
        <w:widowControl/>
        <w:kinsoku w:val="0"/>
        <w:wordWrap/>
        <w:overflowPunct/>
        <w:topLinePunct w:val="0"/>
        <w:autoSpaceDE/>
        <w:autoSpaceDN/>
        <w:bidi w:val="0"/>
        <w:adjustRightInd w:val="0"/>
        <w:snapToGrid w:val="0"/>
        <w:spacing w:line="255" w:lineRule="auto"/>
        <w:textAlignment w:val="baseline"/>
        <w:outlineLvl w:val="9"/>
        <w:rPr>
          <w:rFonts w:hint="default" w:ascii="Times New Roman" w:hAnsi="Times New Roman" w:cs="Times New Roman"/>
          <w:color w:val="auto"/>
        </w:rPr>
      </w:pPr>
    </w:p>
    <w:p w14:paraId="31621EA8">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cs="Times New Roman"/>
          <w:color w:val="auto"/>
        </w:rPr>
      </w:pPr>
    </w:p>
    <w:p w14:paraId="437CEDA9">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cs="Times New Roman"/>
          <w:color w:val="auto"/>
        </w:rPr>
      </w:pPr>
    </w:p>
    <w:p w14:paraId="23640899">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cs="Times New Roman"/>
          <w:color w:val="auto"/>
        </w:rPr>
      </w:pPr>
    </w:p>
    <w:p w14:paraId="424E1E6C">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cs="Times New Roman"/>
          <w:color w:val="auto"/>
        </w:rPr>
      </w:pPr>
    </w:p>
    <w:p w14:paraId="5352C27F">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cs="Times New Roman"/>
          <w:color w:val="auto"/>
        </w:rPr>
      </w:pPr>
    </w:p>
    <w:p w14:paraId="4A6A97E2">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cs="Times New Roman"/>
          <w:color w:val="auto"/>
        </w:rPr>
      </w:pPr>
    </w:p>
    <w:p w14:paraId="1ABBF939">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eastAsia="华文新魏" w:cs="Times New Roman"/>
          <w:snapToGrid/>
          <w:color w:val="auto"/>
          <w:sz w:val="28"/>
          <w:szCs w:val="22"/>
          <w:lang w:eastAsia="zh-CN"/>
        </w:rPr>
      </w:pPr>
    </w:p>
    <w:p w14:paraId="355C877E">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eastAsia="华文新魏" w:cs="Times New Roman"/>
          <w:snapToGrid/>
          <w:color w:val="auto"/>
          <w:sz w:val="28"/>
          <w:szCs w:val="22"/>
          <w:lang w:eastAsia="zh-CN"/>
        </w:rPr>
      </w:pPr>
    </w:p>
    <w:p w14:paraId="3E800C78">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eastAsia="华文新魏" w:cs="Times New Roman"/>
          <w:snapToGrid/>
          <w:color w:val="auto"/>
          <w:sz w:val="28"/>
          <w:szCs w:val="22"/>
          <w:lang w:eastAsia="zh-CN"/>
        </w:rPr>
      </w:pPr>
    </w:p>
    <w:p w14:paraId="4C0CFD0B">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eastAsia="华文新魏" w:cs="Times New Roman"/>
          <w:snapToGrid/>
          <w:color w:val="auto"/>
          <w:sz w:val="28"/>
          <w:szCs w:val="22"/>
          <w:lang w:eastAsia="zh-CN"/>
        </w:rPr>
      </w:pPr>
    </w:p>
    <w:p w14:paraId="60F8083E">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eastAsia="华文新魏" w:cs="Times New Roman"/>
          <w:snapToGrid/>
          <w:color w:val="auto"/>
          <w:sz w:val="28"/>
          <w:szCs w:val="22"/>
          <w:lang w:eastAsia="zh-CN"/>
        </w:rPr>
      </w:pPr>
    </w:p>
    <w:p w14:paraId="1B4E05F3">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eastAsia="华文新魏" w:cs="Times New Roman"/>
          <w:snapToGrid/>
          <w:color w:val="auto"/>
          <w:sz w:val="28"/>
          <w:szCs w:val="22"/>
          <w:lang w:eastAsia="zh-CN"/>
        </w:rPr>
      </w:pPr>
    </w:p>
    <w:p w14:paraId="1ADB6628">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eastAsia="华文新魏" w:cs="Times New Roman"/>
          <w:snapToGrid/>
          <w:color w:val="auto"/>
          <w:sz w:val="28"/>
          <w:szCs w:val="22"/>
          <w:lang w:eastAsia="zh-CN"/>
        </w:rPr>
      </w:pPr>
    </w:p>
    <w:p w14:paraId="0B6307A1">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eastAsia="华文新魏" w:cs="Times New Roman"/>
          <w:snapToGrid/>
          <w:color w:val="auto"/>
          <w:sz w:val="28"/>
          <w:szCs w:val="22"/>
          <w:lang w:eastAsia="zh-CN"/>
        </w:rPr>
      </w:pPr>
    </w:p>
    <w:p w14:paraId="3C1E5265">
      <w:pPr>
        <w:keepNext w:val="0"/>
        <w:keepLines w:val="0"/>
        <w:pageBreakBefore w:val="0"/>
        <w:widowControl/>
        <w:kinsoku w:val="0"/>
        <w:wordWrap/>
        <w:overflowPunct/>
        <w:topLinePunct w:val="0"/>
        <w:autoSpaceDE/>
        <w:autoSpaceDN/>
        <w:bidi w:val="0"/>
        <w:adjustRightInd w:val="0"/>
        <w:snapToGrid w:val="0"/>
        <w:spacing w:line="256" w:lineRule="auto"/>
        <w:textAlignment w:val="baseline"/>
        <w:outlineLvl w:val="9"/>
        <w:rPr>
          <w:rFonts w:hint="default" w:ascii="Times New Roman" w:hAnsi="Times New Roman" w:eastAsia="华文新魏" w:cs="Times New Roman"/>
          <w:snapToGrid/>
          <w:color w:val="auto"/>
          <w:sz w:val="28"/>
          <w:szCs w:val="22"/>
          <w:lang w:eastAsia="zh-CN"/>
        </w:rPr>
      </w:pPr>
    </w:p>
    <w:p w14:paraId="0F5F4280">
      <w:pPr>
        <w:keepNext w:val="0"/>
        <w:keepLines w:val="0"/>
        <w:pageBreakBefore w:val="0"/>
        <w:widowControl/>
        <w:kinsoku w:val="0"/>
        <w:wordWrap/>
        <w:overflowPunct/>
        <w:topLinePunct w:val="0"/>
        <w:autoSpaceDE/>
        <w:autoSpaceDN/>
        <w:bidi w:val="0"/>
        <w:adjustRightInd w:val="0"/>
        <w:snapToGrid w:val="0"/>
        <w:spacing w:before="101" w:line="360" w:lineRule="auto"/>
        <w:ind w:left="0" w:firstLine="0" w:firstLineChars="0"/>
        <w:jc w:val="center"/>
        <w:textAlignment w:val="baseline"/>
        <w:outlineLvl w:val="9"/>
        <w:rPr>
          <w:rFonts w:hint="default" w:ascii="Times New Roman" w:hAnsi="Times New Roman" w:eastAsia="华文新魏" w:cs="Times New Roman"/>
          <w:snapToGrid/>
          <w:color w:val="auto"/>
          <w:sz w:val="28"/>
          <w:szCs w:val="22"/>
          <w:lang w:eastAsia="zh-CN"/>
        </w:rPr>
      </w:pPr>
      <w:r>
        <w:rPr>
          <w:rFonts w:hint="default" w:ascii="Times New Roman" w:hAnsi="Times New Roman" w:eastAsia="华文新魏" w:cs="Times New Roman"/>
          <w:snapToGrid/>
          <w:color w:val="auto"/>
          <w:spacing w:val="0"/>
          <w:position w:val="0"/>
          <w:sz w:val="28"/>
          <w:szCs w:val="22"/>
          <w:lang w:eastAsia="zh-CN"/>
        </w:rPr>
        <w:t>建设单位：福州市大新飞灰处理有限公司</w:t>
      </w:r>
    </w:p>
    <w:p w14:paraId="6CDE4224">
      <w:pPr>
        <w:keepNext w:val="0"/>
        <w:keepLines w:val="0"/>
        <w:pageBreakBefore w:val="0"/>
        <w:widowControl/>
        <w:kinsoku w:val="0"/>
        <w:wordWrap/>
        <w:overflowPunct/>
        <w:topLinePunct w:val="0"/>
        <w:autoSpaceDE/>
        <w:autoSpaceDN/>
        <w:bidi w:val="0"/>
        <w:adjustRightInd w:val="0"/>
        <w:snapToGrid w:val="0"/>
        <w:spacing w:before="1" w:line="360" w:lineRule="auto"/>
        <w:ind w:left="0" w:firstLine="0" w:firstLineChars="0"/>
        <w:jc w:val="center"/>
        <w:textAlignment w:val="baseline"/>
        <w:outlineLvl w:val="9"/>
        <w:rPr>
          <w:rFonts w:hint="default" w:ascii="Times New Roman" w:hAnsi="Times New Roman" w:eastAsia="华文新魏" w:cs="Times New Roman"/>
          <w:snapToGrid/>
          <w:color w:val="auto"/>
          <w:sz w:val="28"/>
          <w:szCs w:val="22"/>
          <w:lang w:eastAsia="zh-CN"/>
        </w:rPr>
      </w:pPr>
      <w:r>
        <w:rPr>
          <w:rFonts w:hint="default" w:ascii="Times New Roman" w:hAnsi="Times New Roman" w:eastAsia="华文新魏" w:cs="Times New Roman"/>
          <w:snapToGrid/>
          <w:color w:val="auto"/>
          <w:spacing w:val="0"/>
          <w:sz w:val="28"/>
          <w:szCs w:val="22"/>
          <w:lang w:eastAsia="zh-CN"/>
        </w:rPr>
        <w:t>编制单位：</w:t>
      </w:r>
      <w:r>
        <w:rPr>
          <w:rFonts w:hint="default" w:ascii="Times New Roman" w:hAnsi="Times New Roman" w:eastAsia="华文新魏" w:cs="Times New Roman"/>
          <w:snapToGrid/>
          <w:color w:val="auto"/>
          <w:spacing w:val="0"/>
          <w:position w:val="0"/>
          <w:sz w:val="28"/>
          <w:szCs w:val="22"/>
          <w:lang w:eastAsia="zh-CN"/>
        </w:rPr>
        <w:t>福州市大新飞灰处理有限公司</w:t>
      </w:r>
    </w:p>
    <w:p w14:paraId="5C798049">
      <w:pPr>
        <w:keepNext w:val="0"/>
        <w:keepLines w:val="0"/>
        <w:pageBreakBefore w:val="0"/>
        <w:widowControl/>
        <w:kinsoku w:val="0"/>
        <w:wordWrap/>
        <w:overflowPunct/>
        <w:topLinePunct w:val="0"/>
        <w:autoSpaceDE/>
        <w:autoSpaceDN/>
        <w:bidi w:val="0"/>
        <w:adjustRightInd w:val="0"/>
        <w:snapToGrid w:val="0"/>
        <w:spacing w:line="357" w:lineRule="auto"/>
        <w:textAlignment w:val="baseline"/>
        <w:outlineLvl w:val="9"/>
        <w:rPr>
          <w:rFonts w:hint="default" w:ascii="Times New Roman" w:hAnsi="Times New Roman" w:cs="Times New Roman"/>
          <w:color w:val="auto"/>
        </w:rPr>
      </w:pPr>
    </w:p>
    <w:p w14:paraId="640A8BCF">
      <w:pPr>
        <w:keepNext w:val="0"/>
        <w:keepLines w:val="0"/>
        <w:pageBreakBefore w:val="0"/>
        <w:widowControl/>
        <w:kinsoku w:val="0"/>
        <w:wordWrap/>
        <w:overflowPunct/>
        <w:topLinePunct w:val="0"/>
        <w:autoSpaceDE/>
        <w:autoSpaceDN/>
        <w:bidi w:val="0"/>
        <w:adjustRightInd w:val="0"/>
        <w:snapToGrid w:val="0"/>
        <w:spacing w:line="358" w:lineRule="auto"/>
        <w:textAlignment w:val="baseline"/>
        <w:outlineLvl w:val="9"/>
        <w:rPr>
          <w:rFonts w:hint="default" w:ascii="Times New Roman" w:hAnsi="Times New Roman" w:cs="Times New Roman"/>
          <w:color w:val="auto"/>
        </w:rPr>
      </w:pPr>
    </w:p>
    <w:p w14:paraId="04F3E91D">
      <w:pPr>
        <w:keepNext w:val="0"/>
        <w:keepLines w:val="0"/>
        <w:pageBreakBefore w:val="0"/>
        <w:widowControl/>
        <w:kinsoku w:val="0"/>
        <w:wordWrap/>
        <w:overflowPunct/>
        <w:topLinePunct w:val="0"/>
        <w:autoSpaceDE/>
        <w:autoSpaceDN/>
        <w:bidi w:val="0"/>
        <w:adjustRightInd w:val="0"/>
        <w:snapToGrid w:val="0"/>
        <w:spacing w:before="101" w:line="226" w:lineRule="auto"/>
        <w:ind w:left="0" w:firstLine="0" w:firstLineChars="0"/>
        <w:jc w:val="center"/>
        <w:textAlignment w:val="baseline"/>
        <w:outlineLvl w:val="9"/>
        <w:rPr>
          <w:rFonts w:hint="default" w:ascii="Times New Roman" w:hAnsi="Times New Roman" w:eastAsia="宋体" w:cs="Times New Roman"/>
          <w:color w:val="auto"/>
          <w:sz w:val="31"/>
          <w:szCs w:val="31"/>
        </w:rPr>
      </w:pPr>
      <w:r>
        <w:rPr>
          <w:rFonts w:hint="default" w:ascii="Times New Roman" w:hAnsi="Times New Roman" w:eastAsia="Times New Roman" w:cs="Times New Roman"/>
          <w:b/>
          <w:bCs/>
          <w:color w:val="auto"/>
          <w:spacing w:val="5"/>
          <w:sz w:val="31"/>
          <w:szCs w:val="31"/>
        </w:rPr>
        <w:t>202</w:t>
      </w:r>
      <w:r>
        <w:rPr>
          <w:rFonts w:hint="default" w:ascii="Times New Roman" w:hAnsi="Times New Roman" w:cs="Times New Roman"/>
          <w:b/>
          <w:bCs/>
          <w:color w:val="auto"/>
          <w:spacing w:val="5"/>
          <w:sz w:val="31"/>
          <w:szCs w:val="31"/>
          <w:lang w:val="en-US" w:eastAsia="zh-CN"/>
        </w:rPr>
        <w:t>4</w:t>
      </w:r>
      <w:r>
        <w:rPr>
          <w:rFonts w:hint="default" w:ascii="Times New Roman" w:hAnsi="Times New Roman" w:eastAsia="宋体" w:cs="Times New Roman"/>
          <w:color w:val="auto"/>
          <w:spacing w:val="5"/>
          <w:sz w:val="31"/>
          <w:szCs w:val="31"/>
          <w14:textOutline w14:w="5791" w14:cap="flat" w14:cmpd="sng">
            <w14:solidFill>
              <w14:srgbClr w14:val="000000"/>
            </w14:solidFill>
            <w14:prstDash w14:val="solid"/>
            <w14:miter w14:val="0"/>
          </w14:textOutline>
        </w:rPr>
        <w:t>年</w:t>
      </w:r>
      <w:r>
        <w:rPr>
          <w:rFonts w:hint="default" w:ascii="Times New Roman" w:hAnsi="Times New Roman" w:eastAsia="Times New Roman" w:cs="Times New Roman"/>
          <w:b/>
          <w:bCs/>
          <w:color w:val="auto"/>
          <w:spacing w:val="5"/>
          <w:sz w:val="31"/>
          <w:szCs w:val="31"/>
        </w:rPr>
        <w:t>0</w:t>
      </w:r>
      <w:r>
        <w:rPr>
          <w:rFonts w:hint="default" w:ascii="Times New Roman" w:hAnsi="Times New Roman" w:cs="Times New Roman"/>
          <w:b/>
          <w:bCs/>
          <w:color w:val="auto"/>
          <w:spacing w:val="5"/>
          <w:sz w:val="31"/>
          <w:szCs w:val="31"/>
          <w:lang w:val="en-US" w:eastAsia="zh-CN"/>
        </w:rPr>
        <w:t>9</w:t>
      </w:r>
      <w:r>
        <w:rPr>
          <w:rFonts w:hint="default" w:ascii="Times New Roman" w:hAnsi="Times New Roman" w:eastAsia="宋体" w:cs="Times New Roman"/>
          <w:color w:val="auto"/>
          <w:spacing w:val="5"/>
          <w:sz w:val="31"/>
          <w:szCs w:val="31"/>
          <w14:textOutline w14:w="5791" w14:cap="flat" w14:cmpd="sng">
            <w14:solidFill>
              <w14:srgbClr w14:val="000000"/>
            </w14:solidFill>
            <w14:prstDash w14:val="solid"/>
            <w14:miter w14:val="0"/>
          </w14:textOutline>
        </w:rPr>
        <w:t>月</w:t>
      </w:r>
    </w:p>
    <w:p w14:paraId="39A363F1">
      <w:pPr>
        <w:keepNext w:val="0"/>
        <w:keepLines w:val="0"/>
        <w:pageBreakBefore w:val="0"/>
        <w:widowControl/>
        <w:kinsoku w:val="0"/>
        <w:wordWrap/>
        <w:overflowPunct/>
        <w:topLinePunct w:val="0"/>
        <w:autoSpaceDE/>
        <w:autoSpaceDN/>
        <w:bidi w:val="0"/>
        <w:adjustRightInd w:val="0"/>
        <w:snapToGrid w:val="0"/>
        <w:spacing w:line="225" w:lineRule="auto"/>
        <w:textAlignment w:val="baseline"/>
        <w:outlineLvl w:val="9"/>
        <w:rPr>
          <w:rFonts w:hint="default" w:ascii="Times New Roman" w:hAnsi="Times New Roman" w:eastAsia="宋体" w:cs="Times New Roman"/>
          <w:color w:val="auto"/>
          <w:sz w:val="31"/>
          <w:szCs w:val="31"/>
        </w:rPr>
        <w:sectPr>
          <w:pgSz w:w="11912" w:h="16841"/>
          <w:pgMar w:top="1431" w:right="1096" w:bottom="0" w:left="1116" w:header="0" w:footer="0" w:gutter="0"/>
          <w:cols w:space="720" w:num="1"/>
        </w:sectPr>
      </w:pPr>
    </w:p>
    <w:p w14:paraId="6F61B8BC">
      <w:pPr>
        <w:keepNext w:val="0"/>
        <w:keepLines w:val="0"/>
        <w:pageBreakBefore w:val="0"/>
        <w:widowControl/>
        <w:kinsoku w:val="0"/>
        <w:wordWrap/>
        <w:overflowPunct/>
        <w:topLinePunct w:val="0"/>
        <w:autoSpaceDE/>
        <w:autoSpaceDN/>
        <w:bidi w:val="0"/>
        <w:adjustRightInd w:val="0"/>
        <w:snapToGrid w:val="0"/>
        <w:spacing w:before="250" w:line="225" w:lineRule="auto"/>
        <w:ind w:left="43"/>
        <w:textAlignment w:val="baseline"/>
        <w:outlineLvl w:val="9"/>
        <w:rPr>
          <w:rFonts w:hint="default" w:ascii="Times New Roman" w:hAnsi="Times New Roman" w:eastAsia="仿宋_GB2312" w:cs="Times New Roman"/>
          <w:b w:val="0"/>
          <w:bCs/>
          <w:snapToGrid/>
          <w:color w:val="auto"/>
          <w:sz w:val="28"/>
          <w:szCs w:val="22"/>
          <w:lang w:eastAsia="zh-CN"/>
        </w:rPr>
      </w:pPr>
      <w:bookmarkStart w:id="1" w:name="_Toc25524"/>
      <w:r>
        <w:rPr>
          <w:rFonts w:hint="default" w:ascii="Times New Roman" w:hAnsi="Times New Roman" w:eastAsia="仿宋_GB2312" w:cs="Times New Roman"/>
          <w:b/>
          <w:snapToGrid/>
          <w:color w:val="auto"/>
          <w:spacing w:val="0"/>
          <w:sz w:val="28"/>
          <w:szCs w:val="22"/>
          <w:lang w:eastAsia="zh-CN"/>
        </w:rPr>
        <w:t>建设单位法人代表：</w:t>
      </w:r>
      <w:r>
        <w:rPr>
          <w:rFonts w:hint="default" w:ascii="Times New Roman" w:hAnsi="Times New Roman" w:eastAsia="仿宋_GB2312" w:cs="Times New Roman"/>
          <w:b/>
          <w:snapToGrid/>
          <w:color w:val="auto"/>
          <w:spacing w:val="0"/>
          <w:sz w:val="28"/>
          <w:szCs w:val="22"/>
          <w:lang w:val="en-US" w:eastAsia="zh-CN"/>
        </w:rPr>
        <w:t>廖法力</w:t>
      </w:r>
      <w:r>
        <w:rPr>
          <w:rFonts w:hint="default" w:ascii="Times New Roman" w:hAnsi="Times New Roman" w:eastAsia="仿宋_GB2312" w:cs="Times New Roman"/>
          <w:b w:val="0"/>
          <w:bCs/>
          <w:snapToGrid/>
          <w:color w:val="auto"/>
          <w:spacing w:val="0"/>
          <w:sz w:val="28"/>
          <w:szCs w:val="22"/>
          <w:lang w:eastAsia="zh-CN"/>
        </w:rPr>
        <w:t>（签字）</w:t>
      </w:r>
      <w:bookmarkEnd w:id="1"/>
    </w:p>
    <w:p w14:paraId="4BC2E00B">
      <w:pPr>
        <w:keepNext w:val="0"/>
        <w:keepLines w:val="0"/>
        <w:pageBreakBefore w:val="0"/>
        <w:widowControl/>
        <w:kinsoku w:val="0"/>
        <w:wordWrap/>
        <w:overflowPunct/>
        <w:topLinePunct w:val="0"/>
        <w:autoSpaceDE/>
        <w:autoSpaceDN/>
        <w:bidi w:val="0"/>
        <w:adjustRightInd w:val="0"/>
        <w:snapToGrid w:val="0"/>
        <w:spacing w:before="250" w:line="225" w:lineRule="auto"/>
        <w:ind w:left="43"/>
        <w:textAlignment w:val="baseline"/>
        <w:outlineLvl w:val="9"/>
        <w:rPr>
          <w:rFonts w:hint="default" w:ascii="Times New Roman" w:hAnsi="Times New Roman" w:eastAsia="仿宋_GB2312" w:cs="Times New Roman"/>
          <w:b w:val="0"/>
          <w:bCs/>
          <w:snapToGrid/>
          <w:color w:val="auto"/>
          <w:sz w:val="28"/>
          <w:szCs w:val="22"/>
          <w:lang w:eastAsia="zh-CN"/>
        </w:rPr>
      </w:pPr>
      <w:bookmarkStart w:id="2" w:name="_Toc4198"/>
      <w:r>
        <w:rPr>
          <w:rFonts w:hint="default" w:ascii="Times New Roman" w:hAnsi="Times New Roman" w:eastAsia="仿宋_GB2312" w:cs="Times New Roman"/>
          <w:b/>
          <w:snapToGrid/>
          <w:color w:val="auto"/>
          <w:spacing w:val="0"/>
          <w:sz w:val="28"/>
          <w:szCs w:val="22"/>
          <w:lang w:eastAsia="zh-CN"/>
        </w:rPr>
        <w:t>编制单位法人代表：</w:t>
      </w:r>
      <w:r>
        <w:rPr>
          <w:rFonts w:hint="default" w:ascii="Times New Roman" w:hAnsi="Times New Roman" w:eastAsia="仿宋_GB2312" w:cs="Times New Roman"/>
          <w:b/>
          <w:snapToGrid/>
          <w:color w:val="auto"/>
          <w:spacing w:val="0"/>
          <w:sz w:val="28"/>
          <w:szCs w:val="22"/>
          <w:lang w:val="en-US" w:eastAsia="zh-CN"/>
        </w:rPr>
        <w:t>廖法力</w:t>
      </w:r>
      <w:r>
        <w:rPr>
          <w:rFonts w:hint="default" w:ascii="Times New Roman" w:hAnsi="Times New Roman" w:eastAsia="仿宋_GB2312" w:cs="Times New Roman"/>
          <w:b w:val="0"/>
          <w:bCs/>
          <w:snapToGrid/>
          <w:color w:val="auto"/>
          <w:spacing w:val="0"/>
          <w:sz w:val="28"/>
          <w:szCs w:val="22"/>
          <w:lang w:eastAsia="zh-CN"/>
        </w:rPr>
        <w:t>（签字）</w:t>
      </w:r>
      <w:bookmarkEnd w:id="2"/>
    </w:p>
    <w:p w14:paraId="5B8D4D38">
      <w:pPr>
        <w:keepNext w:val="0"/>
        <w:keepLines w:val="0"/>
        <w:pageBreakBefore w:val="0"/>
        <w:widowControl/>
        <w:kinsoku w:val="0"/>
        <w:wordWrap/>
        <w:overflowPunct/>
        <w:topLinePunct w:val="0"/>
        <w:autoSpaceDE/>
        <w:autoSpaceDN/>
        <w:bidi w:val="0"/>
        <w:adjustRightInd w:val="0"/>
        <w:snapToGrid w:val="0"/>
        <w:spacing w:before="250" w:line="225" w:lineRule="auto"/>
        <w:ind w:left="43"/>
        <w:textAlignment w:val="baseline"/>
        <w:outlineLvl w:val="9"/>
        <w:rPr>
          <w:rFonts w:hint="default" w:ascii="Times New Roman" w:hAnsi="Times New Roman" w:eastAsia="仿宋_GB2312" w:cs="Times New Roman"/>
          <w:b/>
          <w:snapToGrid/>
          <w:color w:val="auto"/>
          <w:sz w:val="28"/>
          <w:szCs w:val="22"/>
          <w:lang w:eastAsia="zh-CN"/>
        </w:rPr>
      </w:pPr>
      <w:r>
        <w:rPr>
          <w:rFonts w:hint="default" w:ascii="Times New Roman" w:hAnsi="Times New Roman" w:eastAsia="仿宋_GB2312" w:cs="Times New Roman"/>
          <w:b/>
          <w:snapToGrid/>
          <w:color w:val="auto"/>
          <w:spacing w:val="0"/>
          <w:sz w:val="28"/>
          <w:szCs w:val="22"/>
          <w:lang w:eastAsia="zh-CN"/>
        </w:rPr>
        <w:t xml:space="preserve">项  目  负 </w:t>
      </w:r>
      <w:r>
        <w:rPr>
          <w:rFonts w:hint="default" w:ascii="Times New Roman" w:hAnsi="Times New Roman" w:eastAsia="仿宋_GB2312" w:cs="Times New Roman"/>
          <w:b/>
          <w:snapToGrid/>
          <w:color w:val="auto"/>
          <w:spacing w:val="0"/>
          <w:sz w:val="28"/>
          <w:szCs w:val="22"/>
          <w:lang w:val="en-US" w:eastAsia="zh-CN"/>
        </w:rPr>
        <w:t xml:space="preserve"> </w:t>
      </w:r>
      <w:r>
        <w:rPr>
          <w:rFonts w:hint="default" w:ascii="Times New Roman" w:hAnsi="Times New Roman" w:eastAsia="仿宋_GB2312" w:cs="Times New Roman"/>
          <w:b/>
          <w:snapToGrid/>
          <w:color w:val="auto"/>
          <w:spacing w:val="0"/>
          <w:sz w:val="28"/>
          <w:szCs w:val="22"/>
          <w:lang w:eastAsia="zh-CN"/>
        </w:rPr>
        <w:t>责 人：</w:t>
      </w:r>
      <w:r>
        <w:rPr>
          <w:rFonts w:hint="default" w:ascii="Times New Roman" w:hAnsi="Times New Roman" w:eastAsia="仿宋_GB2312" w:cs="Times New Roman"/>
          <w:b/>
          <w:snapToGrid/>
          <w:color w:val="auto"/>
          <w:spacing w:val="0"/>
          <w:sz w:val="28"/>
          <w:szCs w:val="22"/>
          <w:lang w:val="en-US" w:eastAsia="zh-CN"/>
        </w:rPr>
        <w:t>廖法力</w:t>
      </w:r>
    </w:p>
    <w:p w14:paraId="4641AE10">
      <w:pPr>
        <w:keepNext w:val="0"/>
        <w:keepLines w:val="0"/>
        <w:pageBreakBefore w:val="0"/>
        <w:widowControl/>
        <w:kinsoku w:val="0"/>
        <w:wordWrap/>
        <w:overflowPunct/>
        <w:topLinePunct w:val="0"/>
        <w:autoSpaceDE/>
        <w:autoSpaceDN/>
        <w:bidi w:val="0"/>
        <w:adjustRightInd w:val="0"/>
        <w:snapToGrid w:val="0"/>
        <w:spacing w:before="250" w:line="225" w:lineRule="auto"/>
        <w:ind w:left="43"/>
        <w:textAlignment w:val="baseline"/>
        <w:outlineLvl w:val="9"/>
        <w:rPr>
          <w:rFonts w:hint="default" w:ascii="Times New Roman" w:hAnsi="Times New Roman" w:eastAsia="仿宋_GB2312" w:cs="Times New Roman"/>
          <w:b/>
          <w:snapToGrid/>
          <w:color w:val="auto"/>
          <w:sz w:val="28"/>
          <w:szCs w:val="22"/>
          <w:lang w:eastAsia="zh-CN"/>
        </w:rPr>
      </w:pPr>
      <w:r>
        <w:rPr>
          <w:rFonts w:hint="default" w:ascii="Times New Roman" w:hAnsi="Times New Roman" w:eastAsia="仿宋_GB2312" w:cs="Times New Roman"/>
          <w:b/>
          <w:snapToGrid/>
          <w:color w:val="auto"/>
          <w:spacing w:val="0"/>
          <w:sz w:val="28"/>
          <w:szCs w:val="22"/>
          <w:lang w:eastAsia="zh-CN"/>
        </w:rPr>
        <w:t xml:space="preserve">报 </w:t>
      </w:r>
      <w:r>
        <w:rPr>
          <w:rFonts w:hint="default" w:ascii="Times New Roman" w:hAnsi="Times New Roman" w:eastAsia="仿宋_GB2312" w:cs="Times New Roman"/>
          <w:b/>
          <w:snapToGrid/>
          <w:color w:val="auto"/>
          <w:spacing w:val="0"/>
          <w:sz w:val="28"/>
          <w:szCs w:val="22"/>
          <w:lang w:val="en-US" w:eastAsia="zh-CN"/>
        </w:rPr>
        <w:t xml:space="preserve"> </w:t>
      </w:r>
      <w:r>
        <w:rPr>
          <w:rFonts w:hint="default" w:ascii="Times New Roman" w:hAnsi="Times New Roman" w:eastAsia="仿宋_GB2312" w:cs="Times New Roman"/>
          <w:b/>
          <w:snapToGrid/>
          <w:color w:val="auto"/>
          <w:spacing w:val="0"/>
          <w:sz w:val="28"/>
          <w:szCs w:val="22"/>
          <w:lang w:eastAsia="zh-CN"/>
        </w:rPr>
        <w:t xml:space="preserve">告  编 </w:t>
      </w:r>
      <w:r>
        <w:rPr>
          <w:rFonts w:hint="default" w:ascii="Times New Roman" w:hAnsi="Times New Roman" w:eastAsia="仿宋_GB2312" w:cs="Times New Roman"/>
          <w:b/>
          <w:snapToGrid/>
          <w:color w:val="auto"/>
          <w:spacing w:val="0"/>
          <w:sz w:val="28"/>
          <w:szCs w:val="22"/>
          <w:lang w:val="en-US" w:eastAsia="zh-CN"/>
        </w:rPr>
        <w:t xml:space="preserve"> </w:t>
      </w:r>
      <w:r>
        <w:rPr>
          <w:rFonts w:hint="default" w:ascii="Times New Roman" w:hAnsi="Times New Roman" w:eastAsia="仿宋_GB2312" w:cs="Times New Roman"/>
          <w:b/>
          <w:snapToGrid/>
          <w:color w:val="auto"/>
          <w:spacing w:val="0"/>
          <w:sz w:val="28"/>
          <w:szCs w:val="22"/>
          <w:lang w:eastAsia="zh-CN"/>
        </w:rPr>
        <w:t>写 人：</w:t>
      </w:r>
      <w:r>
        <w:rPr>
          <w:rFonts w:hint="default" w:ascii="Times New Roman" w:hAnsi="Times New Roman" w:eastAsia="仿宋_GB2312" w:cs="Times New Roman"/>
          <w:b/>
          <w:snapToGrid/>
          <w:color w:val="auto"/>
          <w:spacing w:val="0"/>
          <w:sz w:val="28"/>
          <w:szCs w:val="22"/>
          <w:lang w:val="en-US" w:eastAsia="zh-CN"/>
        </w:rPr>
        <w:t>李超妤</w:t>
      </w:r>
    </w:p>
    <w:p w14:paraId="3DB9213D">
      <w:pPr>
        <w:keepNext w:val="0"/>
        <w:keepLines w:val="0"/>
        <w:pageBreakBefore w:val="0"/>
        <w:widowControl/>
        <w:kinsoku w:val="0"/>
        <w:wordWrap/>
        <w:overflowPunct/>
        <w:topLinePunct w:val="0"/>
        <w:autoSpaceDE/>
        <w:autoSpaceDN/>
        <w:bidi w:val="0"/>
        <w:adjustRightInd w:val="0"/>
        <w:snapToGrid w:val="0"/>
        <w:spacing w:before="3"/>
        <w:textAlignment w:val="baseline"/>
        <w:outlineLvl w:val="9"/>
        <w:rPr>
          <w:rFonts w:hint="default" w:ascii="Times New Roman" w:hAnsi="Times New Roman" w:cs="Times New Roman"/>
          <w:color w:val="auto"/>
        </w:rPr>
      </w:pPr>
    </w:p>
    <w:p w14:paraId="48450977">
      <w:pPr>
        <w:keepNext w:val="0"/>
        <w:keepLines w:val="0"/>
        <w:pageBreakBefore w:val="0"/>
        <w:widowControl/>
        <w:kinsoku w:val="0"/>
        <w:wordWrap/>
        <w:overflowPunct/>
        <w:topLinePunct w:val="0"/>
        <w:autoSpaceDE/>
        <w:autoSpaceDN/>
        <w:bidi w:val="0"/>
        <w:adjustRightInd w:val="0"/>
        <w:snapToGrid w:val="0"/>
        <w:spacing w:before="3"/>
        <w:textAlignment w:val="baseline"/>
        <w:outlineLvl w:val="9"/>
        <w:rPr>
          <w:rFonts w:hint="default" w:ascii="Times New Roman" w:hAnsi="Times New Roman" w:cs="Times New Roman"/>
          <w:color w:val="auto"/>
        </w:rPr>
      </w:pPr>
    </w:p>
    <w:p w14:paraId="4B204559">
      <w:pPr>
        <w:keepNext w:val="0"/>
        <w:keepLines w:val="0"/>
        <w:pageBreakBefore w:val="0"/>
        <w:widowControl/>
        <w:kinsoku w:val="0"/>
        <w:wordWrap/>
        <w:overflowPunct/>
        <w:topLinePunct w:val="0"/>
        <w:autoSpaceDE/>
        <w:autoSpaceDN/>
        <w:bidi w:val="0"/>
        <w:adjustRightInd w:val="0"/>
        <w:snapToGrid w:val="0"/>
        <w:spacing w:before="3"/>
        <w:textAlignment w:val="baseline"/>
        <w:outlineLvl w:val="9"/>
        <w:rPr>
          <w:rFonts w:hint="default" w:ascii="Times New Roman" w:hAnsi="Times New Roman" w:cs="Times New Roman"/>
          <w:color w:val="auto"/>
        </w:rPr>
      </w:pPr>
    </w:p>
    <w:p w14:paraId="77C2AB3F">
      <w:pPr>
        <w:keepNext w:val="0"/>
        <w:keepLines w:val="0"/>
        <w:pageBreakBefore w:val="0"/>
        <w:widowControl/>
        <w:kinsoku w:val="0"/>
        <w:wordWrap/>
        <w:overflowPunct/>
        <w:topLinePunct w:val="0"/>
        <w:autoSpaceDE/>
        <w:autoSpaceDN/>
        <w:bidi w:val="0"/>
        <w:adjustRightInd w:val="0"/>
        <w:snapToGrid w:val="0"/>
        <w:spacing w:before="3"/>
        <w:textAlignment w:val="baseline"/>
        <w:outlineLvl w:val="9"/>
        <w:rPr>
          <w:rFonts w:hint="default" w:ascii="Times New Roman" w:hAnsi="Times New Roman" w:cs="Times New Roman"/>
          <w:color w:val="auto"/>
        </w:rPr>
      </w:pPr>
    </w:p>
    <w:p w14:paraId="7E7C7D97">
      <w:pPr>
        <w:keepNext w:val="0"/>
        <w:keepLines w:val="0"/>
        <w:pageBreakBefore w:val="0"/>
        <w:widowControl/>
        <w:kinsoku w:val="0"/>
        <w:wordWrap/>
        <w:overflowPunct/>
        <w:topLinePunct w:val="0"/>
        <w:autoSpaceDE/>
        <w:autoSpaceDN/>
        <w:bidi w:val="0"/>
        <w:adjustRightInd w:val="0"/>
        <w:snapToGrid w:val="0"/>
        <w:spacing w:before="3"/>
        <w:textAlignment w:val="baseline"/>
        <w:outlineLvl w:val="9"/>
        <w:rPr>
          <w:rFonts w:hint="default" w:ascii="Times New Roman" w:hAnsi="Times New Roman" w:cs="Times New Roman"/>
          <w:color w:val="auto"/>
        </w:rPr>
      </w:pPr>
    </w:p>
    <w:p w14:paraId="79EC86C7">
      <w:pPr>
        <w:keepNext w:val="0"/>
        <w:keepLines w:val="0"/>
        <w:pageBreakBefore w:val="0"/>
        <w:widowControl/>
        <w:kinsoku w:val="0"/>
        <w:wordWrap/>
        <w:overflowPunct/>
        <w:topLinePunct w:val="0"/>
        <w:autoSpaceDE/>
        <w:autoSpaceDN/>
        <w:bidi w:val="0"/>
        <w:adjustRightInd w:val="0"/>
        <w:snapToGrid w:val="0"/>
        <w:spacing w:before="3"/>
        <w:textAlignment w:val="baseline"/>
        <w:outlineLvl w:val="9"/>
        <w:rPr>
          <w:rFonts w:hint="default" w:ascii="Times New Roman" w:hAnsi="Times New Roman" w:cs="Times New Roman"/>
          <w:color w:val="auto"/>
        </w:rPr>
      </w:pPr>
    </w:p>
    <w:p w14:paraId="45085B96">
      <w:pPr>
        <w:keepNext w:val="0"/>
        <w:keepLines w:val="0"/>
        <w:pageBreakBefore w:val="0"/>
        <w:widowControl/>
        <w:kinsoku w:val="0"/>
        <w:wordWrap/>
        <w:overflowPunct/>
        <w:topLinePunct w:val="0"/>
        <w:autoSpaceDE/>
        <w:autoSpaceDN/>
        <w:bidi w:val="0"/>
        <w:adjustRightInd w:val="0"/>
        <w:snapToGrid w:val="0"/>
        <w:spacing w:before="2"/>
        <w:textAlignment w:val="baseline"/>
        <w:outlineLvl w:val="9"/>
        <w:rPr>
          <w:rFonts w:hint="default" w:ascii="Times New Roman" w:hAnsi="Times New Roman" w:cs="Times New Roman"/>
          <w:color w:val="auto"/>
        </w:rPr>
      </w:pPr>
    </w:p>
    <w:p w14:paraId="25D609E2">
      <w:pPr>
        <w:keepNext w:val="0"/>
        <w:keepLines w:val="0"/>
        <w:pageBreakBefore w:val="0"/>
        <w:widowControl/>
        <w:kinsoku w:val="0"/>
        <w:wordWrap/>
        <w:overflowPunct/>
        <w:topLinePunct w:val="0"/>
        <w:autoSpaceDE/>
        <w:autoSpaceDN/>
        <w:bidi w:val="0"/>
        <w:adjustRightInd w:val="0"/>
        <w:snapToGrid w:val="0"/>
        <w:spacing w:before="2"/>
        <w:textAlignment w:val="baseline"/>
        <w:outlineLvl w:val="9"/>
        <w:rPr>
          <w:rFonts w:hint="default" w:ascii="Times New Roman" w:hAnsi="Times New Roman" w:cs="Times New Roman"/>
          <w:color w:val="auto"/>
        </w:rPr>
      </w:pPr>
    </w:p>
    <w:p w14:paraId="49DBE5C6">
      <w:pPr>
        <w:keepNext w:val="0"/>
        <w:keepLines w:val="0"/>
        <w:pageBreakBefore w:val="0"/>
        <w:widowControl/>
        <w:kinsoku w:val="0"/>
        <w:wordWrap/>
        <w:overflowPunct/>
        <w:topLinePunct w:val="0"/>
        <w:autoSpaceDE/>
        <w:autoSpaceDN/>
        <w:bidi w:val="0"/>
        <w:adjustRightInd w:val="0"/>
        <w:snapToGrid w:val="0"/>
        <w:spacing w:before="2"/>
        <w:textAlignment w:val="baseline"/>
        <w:outlineLvl w:val="9"/>
        <w:rPr>
          <w:rFonts w:hint="default" w:ascii="Times New Roman" w:hAnsi="Times New Roman" w:cs="Times New Roman"/>
          <w:color w:val="auto"/>
        </w:rPr>
      </w:pPr>
    </w:p>
    <w:p w14:paraId="7C6C84A7">
      <w:pPr>
        <w:keepNext w:val="0"/>
        <w:keepLines w:val="0"/>
        <w:pageBreakBefore w:val="0"/>
        <w:widowControl/>
        <w:kinsoku w:val="0"/>
        <w:wordWrap/>
        <w:overflowPunct/>
        <w:topLinePunct w:val="0"/>
        <w:autoSpaceDE/>
        <w:autoSpaceDN/>
        <w:bidi w:val="0"/>
        <w:adjustRightInd w:val="0"/>
        <w:snapToGrid w:val="0"/>
        <w:spacing w:before="2"/>
        <w:textAlignment w:val="baseline"/>
        <w:outlineLvl w:val="9"/>
        <w:rPr>
          <w:rFonts w:hint="default" w:ascii="Times New Roman" w:hAnsi="Times New Roman" w:cs="Times New Roman"/>
          <w:color w:val="auto"/>
        </w:rPr>
      </w:pPr>
    </w:p>
    <w:p w14:paraId="7E1F89AF">
      <w:pPr>
        <w:keepNext w:val="0"/>
        <w:keepLines w:val="0"/>
        <w:pageBreakBefore w:val="0"/>
        <w:widowControl/>
        <w:kinsoku w:val="0"/>
        <w:wordWrap/>
        <w:overflowPunct/>
        <w:topLinePunct w:val="0"/>
        <w:autoSpaceDE/>
        <w:autoSpaceDN/>
        <w:bidi w:val="0"/>
        <w:adjustRightInd w:val="0"/>
        <w:snapToGrid w:val="0"/>
        <w:spacing w:before="2"/>
        <w:textAlignment w:val="baseline"/>
        <w:outlineLvl w:val="9"/>
        <w:rPr>
          <w:rFonts w:hint="default" w:ascii="Times New Roman" w:hAnsi="Times New Roman" w:cs="Times New Roman"/>
          <w:color w:val="auto"/>
        </w:rPr>
      </w:pPr>
    </w:p>
    <w:p w14:paraId="203D3E4A">
      <w:pPr>
        <w:keepNext w:val="0"/>
        <w:keepLines w:val="0"/>
        <w:pageBreakBefore w:val="0"/>
        <w:widowControl/>
        <w:kinsoku w:val="0"/>
        <w:wordWrap/>
        <w:overflowPunct/>
        <w:topLinePunct w:val="0"/>
        <w:autoSpaceDE/>
        <w:autoSpaceDN/>
        <w:bidi w:val="0"/>
        <w:adjustRightInd w:val="0"/>
        <w:snapToGrid w:val="0"/>
        <w:spacing w:before="2"/>
        <w:textAlignment w:val="baseline"/>
        <w:outlineLvl w:val="9"/>
        <w:rPr>
          <w:rFonts w:hint="default" w:ascii="Times New Roman" w:hAnsi="Times New Roman" w:cs="Times New Roman"/>
          <w:color w:val="auto"/>
        </w:rPr>
      </w:pPr>
    </w:p>
    <w:p w14:paraId="578020D9">
      <w:pPr>
        <w:keepNext w:val="0"/>
        <w:keepLines w:val="0"/>
        <w:pageBreakBefore w:val="0"/>
        <w:widowControl/>
        <w:kinsoku w:val="0"/>
        <w:wordWrap/>
        <w:overflowPunct/>
        <w:topLinePunct w:val="0"/>
        <w:autoSpaceDE/>
        <w:autoSpaceDN/>
        <w:bidi w:val="0"/>
        <w:adjustRightInd w:val="0"/>
        <w:snapToGrid w:val="0"/>
        <w:spacing w:before="2"/>
        <w:textAlignment w:val="baseline"/>
        <w:outlineLvl w:val="9"/>
        <w:rPr>
          <w:rFonts w:hint="default" w:ascii="Times New Roman" w:hAnsi="Times New Roman" w:cs="Times New Roman"/>
          <w:color w:val="auto"/>
        </w:rPr>
      </w:pPr>
    </w:p>
    <w:p w14:paraId="5D85930D">
      <w:pPr>
        <w:keepNext w:val="0"/>
        <w:keepLines w:val="0"/>
        <w:pageBreakBefore w:val="0"/>
        <w:widowControl/>
        <w:kinsoku w:val="0"/>
        <w:wordWrap/>
        <w:overflowPunct/>
        <w:topLinePunct w:val="0"/>
        <w:autoSpaceDE/>
        <w:autoSpaceDN/>
        <w:bidi w:val="0"/>
        <w:adjustRightInd w:val="0"/>
        <w:snapToGrid w:val="0"/>
        <w:spacing w:before="2"/>
        <w:textAlignment w:val="baseline"/>
        <w:outlineLvl w:val="9"/>
        <w:rPr>
          <w:rFonts w:hint="default" w:ascii="Times New Roman" w:hAnsi="Times New Roman" w:cs="Times New Roman"/>
          <w:color w:val="auto"/>
        </w:rPr>
      </w:pPr>
    </w:p>
    <w:p w14:paraId="2A30F0F4">
      <w:pPr>
        <w:keepNext w:val="0"/>
        <w:keepLines w:val="0"/>
        <w:pageBreakBefore w:val="0"/>
        <w:widowControl/>
        <w:kinsoku w:val="0"/>
        <w:wordWrap/>
        <w:overflowPunct/>
        <w:topLinePunct w:val="0"/>
        <w:autoSpaceDE/>
        <w:autoSpaceDN/>
        <w:bidi w:val="0"/>
        <w:adjustRightInd w:val="0"/>
        <w:snapToGrid w:val="0"/>
        <w:spacing w:before="2"/>
        <w:textAlignment w:val="baseline"/>
        <w:outlineLvl w:val="9"/>
        <w:rPr>
          <w:rFonts w:hint="default" w:ascii="Times New Roman" w:hAnsi="Times New Roman" w:cs="Times New Roman"/>
          <w:color w:val="auto"/>
        </w:rPr>
      </w:pPr>
    </w:p>
    <w:p w14:paraId="30A20CE1">
      <w:pPr>
        <w:keepNext w:val="0"/>
        <w:keepLines w:val="0"/>
        <w:pageBreakBefore w:val="0"/>
        <w:widowControl/>
        <w:kinsoku w:val="0"/>
        <w:wordWrap/>
        <w:overflowPunct/>
        <w:topLinePunct w:val="0"/>
        <w:autoSpaceDE/>
        <w:autoSpaceDN/>
        <w:bidi w:val="0"/>
        <w:adjustRightInd w:val="0"/>
        <w:snapToGrid w:val="0"/>
        <w:spacing w:before="2"/>
        <w:textAlignment w:val="baseline"/>
        <w:outlineLvl w:val="9"/>
        <w:rPr>
          <w:rFonts w:hint="default" w:ascii="Times New Roman" w:hAnsi="Times New Roman" w:cs="Times New Roman"/>
          <w:color w:val="auto"/>
        </w:rPr>
      </w:pPr>
    </w:p>
    <w:p w14:paraId="457E0972">
      <w:pPr>
        <w:keepNext w:val="0"/>
        <w:keepLines w:val="0"/>
        <w:pageBreakBefore w:val="0"/>
        <w:widowControl/>
        <w:kinsoku w:val="0"/>
        <w:wordWrap/>
        <w:overflowPunct/>
        <w:topLinePunct w:val="0"/>
        <w:autoSpaceDE/>
        <w:autoSpaceDN/>
        <w:bidi w:val="0"/>
        <w:adjustRightInd w:val="0"/>
        <w:snapToGrid w:val="0"/>
        <w:spacing w:before="2"/>
        <w:textAlignment w:val="baseline"/>
        <w:outlineLvl w:val="9"/>
        <w:rPr>
          <w:rFonts w:hint="default" w:ascii="Times New Roman" w:hAnsi="Times New Roman" w:cs="Times New Roman"/>
          <w:color w:val="auto"/>
        </w:rPr>
      </w:pPr>
    </w:p>
    <w:p w14:paraId="1C8674A3">
      <w:pPr>
        <w:keepNext w:val="0"/>
        <w:keepLines w:val="0"/>
        <w:pageBreakBefore w:val="0"/>
        <w:widowControl/>
        <w:kinsoku w:val="0"/>
        <w:wordWrap/>
        <w:overflowPunct/>
        <w:topLinePunct w:val="0"/>
        <w:autoSpaceDE/>
        <w:autoSpaceDN/>
        <w:bidi w:val="0"/>
        <w:adjustRightInd w:val="0"/>
        <w:snapToGrid w:val="0"/>
        <w:textAlignment w:val="baseline"/>
        <w:outlineLvl w:val="9"/>
        <w:rPr>
          <w:rFonts w:hint="default" w:ascii="Times New Roman" w:hAnsi="Times New Roman" w:cs="Times New Roman"/>
          <w:color w:val="auto"/>
        </w:rPr>
        <w:sectPr>
          <w:headerReference r:id="rId5" w:type="default"/>
          <w:pgSz w:w="11912" w:h="16841"/>
          <w:pgMar w:top="1289" w:right="1049" w:bottom="0" w:left="1051" w:header="1078" w:footer="0" w:gutter="0"/>
          <w:cols w:equalWidth="0" w:num="1">
            <w:col w:w="9811"/>
          </w:cols>
        </w:sectPr>
      </w:pPr>
    </w:p>
    <w:p w14:paraId="62BDB4D9">
      <w:pPr>
        <w:keepNext w:val="0"/>
        <w:keepLines w:val="0"/>
        <w:pageBreakBefore w:val="0"/>
        <w:widowControl/>
        <w:kinsoku w:val="0"/>
        <w:wordWrap/>
        <w:overflowPunct/>
        <w:topLinePunct w:val="0"/>
        <w:autoSpaceDE/>
        <w:autoSpaceDN/>
        <w:bidi w:val="0"/>
        <w:adjustRightInd w:val="0"/>
        <w:snapToGrid w:val="0"/>
        <w:spacing w:after="200" w:line="360" w:lineRule="auto"/>
        <w:ind w:left="0" w:firstLine="0" w:firstLineChars="0"/>
        <w:textAlignment w:val="baseline"/>
        <w:outlineLvl w:val="9"/>
        <w:rPr>
          <w:rFonts w:hint="default" w:ascii="Times New Roman" w:hAnsi="Times New Roman" w:eastAsia="仿宋" w:cs="Times New Roman"/>
          <w:b w:val="0"/>
          <w:bCs w:val="0"/>
          <w:color w:val="auto"/>
          <w:sz w:val="28"/>
          <w:szCs w:val="28"/>
        </w:rPr>
      </w:pPr>
      <w:r>
        <w:rPr>
          <w:rFonts w:hint="default" w:ascii="Times New Roman" w:hAnsi="Times New Roman" w:eastAsia="仿宋" w:cs="Times New Roman"/>
          <w:b w:val="0"/>
          <w:bCs w:val="0"/>
          <w:color w:val="auto"/>
          <w:spacing w:val="-6"/>
          <w:sz w:val="28"/>
          <w:szCs w:val="28"/>
          <w14:textOutline w14:w="4354" w14:cap="flat" w14:cmpd="sng">
            <w14:solidFill>
              <w14:srgbClr w14:val="000000"/>
            </w14:solidFill>
            <w14:prstDash w14:val="solid"/>
            <w14:miter w14:val="0"/>
          </w14:textOutline>
        </w:rPr>
        <w:t>建设单位：</w:t>
      </w:r>
      <w:r>
        <w:rPr>
          <w:rFonts w:hint="default" w:ascii="Times New Roman" w:hAnsi="Times New Roman" w:eastAsia="仿宋" w:cs="Times New Roman"/>
          <w:b/>
          <w:bCs/>
          <w:color w:val="auto"/>
          <w:spacing w:val="0"/>
          <w:sz w:val="28"/>
          <w:szCs w:val="28"/>
          <w:u w:val="single" w:color="auto"/>
          <w:lang w:val="en-US" w:eastAsia="en-US"/>
        </w:rPr>
        <w:t>福州市大新飞灰处理有限公司</w:t>
      </w:r>
      <w:r>
        <w:rPr>
          <w:rFonts w:hint="default" w:ascii="Times New Roman" w:hAnsi="Times New Roman" w:eastAsia="仿宋" w:cs="Times New Roman"/>
          <w:b w:val="0"/>
          <w:bCs w:val="0"/>
          <w:color w:val="auto"/>
          <w:spacing w:val="-4"/>
          <w:sz w:val="28"/>
          <w:szCs w:val="28"/>
          <w14:textOutline w14:w="4354" w14:cap="flat" w14:cmpd="sng">
            <w14:solidFill>
              <w14:srgbClr w14:val="000000"/>
            </w14:solidFill>
            <w14:prstDash w14:val="solid"/>
            <w14:miter w14:val="0"/>
          </w14:textOutline>
        </w:rPr>
        <w:t>（盖章）</w:t>
      </w:r>
    </w:p>
    <w:p w14:paraId="3A5E2332">
      <w:pPr>
        <w:keepNext w:val="0"/>
        <w:keepLines w:val="0"/>
        <w:pageBreakBefore w:val="0"/>
        <w:widowControl/>
        <w:kinsoku w:val="0"/>
        <w:wordWrap/>
        <w:overflowPunct/>
        <w:topLinePunct w:val="0"/>
        <w:autoSpaceDE/>
        <w:autoSpaceDN/>
        <w:bidi w:val="0"/>
        <w:adjustRightInd w:val="0"/>
        <w:snapToGrid w:val="0"/>
        <w:spacing w:after="200" w:line="360" w:lineRule="auto"/>
        <w:ind w:left="0" w:firstLine="0" w:firstLineChars="0"/>
        <w:textAlignment w:val="baseline"/>
        <w:outlineLvl w:val="9"/>
        <w:rPr>
          <w:rFonts w:hint="default" w:ascii="Times New Roman" w:hAnsi="Times New Roman" w:eastAsia="仿宋" w:cs="Times New Roman"/>
          <w:b w:val="0"/>
          <w:bCs w:val="0"/>
          <w:color w:val="auto"/>
          <w:sz w:val="28"/>
          <w:szCs w:val="28"/>
          <w:lang w:val="en-US" w:eastAsia="zh-CN"/>
        </w:rPr>
      </w:pPr>
      <w:r>
        <w:rPr>
          <w:rFonts w:hint="default" w:ascii="Times New Roman" w:hAnsi="Times New Roman" w:eastAsia="仿宋" w:cs="Times New Roman"/>
          <w:b w:val="0"/>
          <w:bCs w:val="0"/>
          <w:color w:val="auto"/>
          <w:spacing w:val="-9"/>
          <w:sz w:val="28"/>
          <w:szCs w:val="28"/>
          <w14:textOutline w14:w="4354" w14:cap="flat" w14:cmpd="sng">
            <w14:solidFill>
              <w14:srgbClr w14:val="000000"/>
            </w14:solidFill>
            <w14:prstDash w14:val="solid"/>
            <w14:miter w14:val="0"/>
          </w14:textOutline>
        </w:rPr>
        <w:t>电</w:t>
      </w:r>
      <w:r>
        <w:rPr>
          <w:rFonts w:hint="default" w:ascii="Times New Roman" w:hAnsi="Times New Roman" w:eastAsia="仿宋" w:cs="Times New Roman"/>
          <w:b w:val="0"/>
          <w:bCs w:val="0"/>
          <w:color w:val="auto"/>
          <w:spacing w:val="4"/>
          <w:sz w:val="28"/>
          <w:szCs w:val="28"/>
        </w:rPr>
        <w:t xml:space="preserve">    </w:t>
      </w:r>
      <w:r>
        <w:rPr>
          <w:rFonts w:hint="default" w:ascii="Times New Roman" w:hAnsi="Times New Roman" w:eastAsia="仿宋" w:cs="Times New Roman"/>
          <w:b w:val="0"/>
          <w:bCs w:val="0"/>
          <w:color w:val="auto"/>
          <w:spacing w:val="-9"/>
          <w:sz w:val="28"/>
          <w:szCs w:val="28"/>
          <w14:textOutline w14:w="4354" w14:cap="flat" w14:cmpd="sng">
            <w14:solidFill>
              <w14:srgbClr w14:val="000000"/>
            </w14:solidFill>
            <w14:prstDash w14:val="solid"/>
            <w14:miter w14:val="0"/>
          </w14:textOutline>
        </w:rPr>
        <w:t>话：</w:t>
      </w:r>
      <w:r>
        <w:rPr>
          <w:rFonts w:hint="default" w:ascii="Times New Roman" w:hAnsi="Times New Roman" w:eastAsia="仿宋" w:cs="Times New Roman"/>
          <w:b w:val="0"/>
          <w:bCs w:val="0"/>
          <w:color w:val="auto"/>
          <w:spacing w:val="-9"/>
          <w:sz w:val="28"/>
          <w:szCs w:val="28"/>
        </w:rPr>
        <w:t>0591-83257265</w:t>
      </w:r>
      <w:r>
        <w:rPr>
          <w:rFonts w:hint="default" w:ascii="Times New Roman" w:hAnsi="Times New Roman" w:eastAsia="仿宋" w:cs="Times New Roman"/>
          <w:b w:val="0"/>
          <w:bCs w:val="0"/>
          <w:color w:val="auto"/>
          <w:spacing w:val="-9"/>
          <w:sz w:val="28"/>
          <w:szCs w:val="28"/>
          <w:lang w:val="en-US" w:eastAsia="zh-CN"/>
        </w:rPr>
        <w:t xml:space="preserve"> </w:t>
      </w:r>
    </w:p>
    <w:p w14:paraId="0CEE4EBC">
      <w:pPr>
        <w:keepNext w:val="0"/>
        <w:keepLines w:val="0"/>
        <w:pageBreakBefore w:val="0"/>
        <w:widowControl/>
        <w:kinsoku w:val="0"/>
        <w:wordWrap/>
        <w:overflowPunct/>
        <w:topLinePunct w:val="0"/>
        <w:autoSpaceDE/>
        <w:autoSpaceDN/>
        <w:bidi w:val="0"/>
        <w:adjustRightInd w:val="0"/>
        <w:snapToGrid w:val="0"/>
        <w:spacing w:after="200" w:line="360" w:lineRule="auto"/>
        <w:ind w:left="0" w:firstLine="0" w:firstLineChars="0"/>
        <w:textAlignment w:val="baseline"/>
        <w:outlineLvl w:val="9"/>
        <w:rPr>
          <w:rFonts w:hint="default" w:ascii="Times New Roman" w:hAnsi="Times New Roman" w:eastAsia="仿宋" w:cs="Times New Roman"/>
          <w:b w:val="0"/>
          <w:bCs w:val="0"/>
          <w:color w:val="auto"/>
          <w:sz w:val="28"/>
          <w:szCs w:val="28"/>
        </w:rPr>
      </w:pPr>
      <w:r>
        <w:rPr>
          <w:rFonts w:hint="default" w:ascii="Times New Roman" w:hAnsi="Times New Roman" w:eastAsia="仿宋" w:cs="Times New Roman"/>
          <w:b w:val="0"/>
          <w:bCs w:val="0"/>
          <w:color w:val="auto"/>
          <w:spacing w:val="-7"/>
          <w:sz w:val="28"/>
          <w:szCs w:val="28"/>
          <w14:textOutline w14:w="4354" w14:cap="flat" w14:cmpd="sng">
            <w14:solidFill>
              <w14:srgbClr w14:val="000000"/>
            </w14:solidFill>
            <w14:prstDash w14:val="solid"/>
            <w14:miter w14:val="0"/>
          </w14:textOutline>
        </w:rPr>
        <w:t>传</w:t>
      </w:r>
      <w:r>
        <w:rPr>
          <w:rFonts w:hint="default" w:ascii="Times New Roman" w:hAnsi="Times New Roman" w:eastAsia="仿宋" w:cs="Times New Roman"/>
          <w:b w:val="0"/>
          <w:bCs w:val="0"/>
          <w:color w:val="auto"/>
          <w:spacing w:val="19"/>
          <w:sz w:val="28"/>
          <w:szCs w:val="28"/>
        </w:rPr>
        <w:t xml:space="preserve">    </w:t>
      </w:r>
      <w:r>
        <w:rPr>
          <w:rFonts w:hint="default" w:ascii="Times New Roman" w:hAnsi="Times New Roman" w:eastAsia="仿宋" w:cs="Times New Roman"/>
          <w:b w:val="0"/>
          <w:bCs w:val="0"/>
          <w:color w:val="auto"/>
          <w:spacing w:val="-7"/>
          <w:sz w:val="28"/>
          <w:szCs w:val="28"/>
          <w14:textOutline w14:w="4354" w14:cap="flat" w14:cmpd="sng">
            <w14:solidFill>
              <w14:srgbClr w14:val="000000"/>
            </w14:solidFill>
            <w14:prstDash w14:val="solid"/>
            <w14:miter w14:val="0"/>
          </w14:textOutline>
        </w:rPr>
        <w:t>真：</w:t>
      </w:r>
      <w:r>
        <w:rPr>
          <w:rFonts w:hint="default" w:ascii="Times New Roman" w:hAnsi="Times New Roman" w:eastAsia="仿宋" w:cs="Times New Roman"/>
          <w:b w:val="0"/>
          <w:bCs w:val="0"/>
          <w:color w:val="auto"/>
          <w:spacing w:val="-7"/>
          <w:sz w:val="28"/>
          <w:szCs w:val="28"/>
        </w:rPr>
        <w:t>0591-83817593</w:t>
      </w:r>
    </w:p>
    <w:p w14:paraId="55F572E7">
      <w:pPr>
        <w:keepNext w:val="0"/>
        <w:keepLines w:val="0"/>
        <w:pageBreakBefore w:val="0"/>
        <w:widowControl/>
        <w:kinsoku w:val="0"/>
        <w:wordWrap/>
        <w:overflowPunct/>
        <w:topLinePunct w:val="0"/>
        <w:autoSpaceDE/>
        <w:autoSpaceDN/>
        <w:bidi w:val="0"/>
        <w:adjustRightInd w:val="0"/>
        <w:snapToGrid w:val="0"/>
        <w:spacing w:after="200" w:line="360" w:lineRule="auto"/>
        <w:ind w:left="0" w:firstLine="0" w:firstLineChars="0"/>
        <w:textAlignment w:val="baseline"/>
        <w:outlineLvl w:val="9"/>
        <w:rPr>
          <w:rFonts w:hint="default" w:ascii="Times New Roman" w:hAnsi="Times New Roman" w:eastAsia="仿宋" w:cs="Times New Roman"/>
          <w:b w:val="0"/>
          <w:bCs w:val="0"/>
          <w:color w:val="auto"/>
          <w:sz w:val="28"/>
          <w:szCs w:val="28"/>
        </w:rPr>
      </w:pPr>
      <w:bookmarkStart w:id="3" w:name="_Toc415"/>
      <w:r>
        <w:rPr>
          <w:rFonts w:hint="default" w:ascii="Times New Roman" w:hAnsi="Times New Roman" w:eastAsia="仿宋" w:cs="Times New Roman"/>
          <w:b w:val="0"/>
          <w:bCs w:val="0"/>
          <w:color w:val="auto"/>
          <w:spacing w:val="-14"/>
          <w:sz w:val="28"/>
          <w:szCs w:val="28"/>
          <w14:textOutline w14:w="4354" w14:cap="flat" w14:cmpd="sng">
            <w14:solidFill>
              <w14:srgbClr w14:val="000000"/>
            </w14:solidFill>
            <w14:prstDash w14:val="solid"/>
            <w14:miter w14:val="0"/>
          </w14:textOutline>
        </w:rPr>
        <w:t>邮</w:t>
      </w:r>
      <w:r>
        <w:rPr>
          <w:rFonts w:hint="default" w:ascii="Times New Roman" w:hAnsi="Times New Roman" w:eastAsia="仿宋" w:cs="Times New Roman"/>
          <w:b w:val="0"/>
          <w:bCs w:val="0"/>
          <w:color w:val="auto"/>
          <w:spacing w:val="-14"/>
          <w:sz w:val="28"/>
          <w:szCs w:val="28"/>
        </w:rPr>
        <w:t xml:space="preserve">     </w:t>
      </w:r>
      <w:r>
        <w:rPr>
          <w:rFonts w:hint="default" w:ascii="Times New Roman" w:hAnsi="Times New Roman" w:eastAsia="仿宋" w:cs="Times New Roman"/>
          <w:b w:val="0"/>
          <w:bCs w:val="0"/>
          <w:color w:val="auto"/>
          <w:spacing w:val="-14"/>
          <w:sz w:val="28"/>
          <w:szCs w:val="28"/>
          <w14:textOutline w14:w="4354" w14:cap="flat" w14:cmpd="sng">
            <w14:solidFill>
              <w14:srgbClr w14:val="000000"/>
            </w14:solidFill>
            <w14:prstDash w14:val="solid"/>
            <w14:miter w14:val="0"/>
          </w14:textOutline>
        </w:rPr>
        <w:t>编：</w:t>
      </w:r>
      <w:r>
        <w:rPr>
          <w:rFonts w:hint="default" w:ascii="Times New Roman" w:hAnsi="Times New Roman" w:eastAsia="仿宋" w:cs="Times New Roman"/>
          <w:b w:val="0"/>
          <w:bCs w:val="0"/>
          <w:color w:val="auto"/>
          <w:spacing w:val="-14"/>
          <w:sz w:val="28"/>
          <w:szCs w:val="28"/>
        </w:rPr>
        <w:t>350024</w:t>
      </w:r>
      <w:bookmarkEnd w:id="3"/>
    </w:p>
    <w:p w14:paraId="5CAF4847">
      <w:pPr>
        <w:keepNext w:val="0"/>
        <w:keepLines w:val="0"/>
        <w:pageBreakBefore w:val="0"/>
        <w:widowControl/>
        <w:kinsoku w:val="0"/>
        <w:wordWrap/>
        <w:overflowPunct/>
        <w:topLinePunct w:val="0"/>
        <w:autoSpaceDE/>
        <w:autoSpaceDN/>
        <w:bidi w:val="0"/>
        <w:adjustRightInd w:val="0"/>
        <w:snapToGrid w:val="0"/>
        <w:spacing w:after="200" w:line="360" w:lineRule="auto"/>
        <w:ind w:left="0" w:firstLine="0" w:firstLineChars="0"/>
        <w:textAlignment w:val="baseline"/>
        <w:outlineLvl w:val="9"/>
        <w:rPr>
          <w:rFonts w:hint="default" w:ascii="Times New Roman" w:hAnsi="Times New Roman" w:eastAsia="仿宋" w:cs="Times New Roman"/>
          <w:b w:val="0"/>
          <w:bCs w:val="0"/>
          <w:color w:val="auto"/>
          <w:sz w:val="28"/>
          <w:szCs w:val="28"/>
          <w:lang w:val="en-US" w:eastAsia="zh-CN"/>
        </w:rPr>
      </w:pPr>
      <w:r>
        <w:rPr>
          <w:rFonts w:hint="default" w:ascii="Times New Roman" w:hAnsi="Times New Roman" w:eastAsia="仿宋" w:cs="Times New Roman"/>
          <w:b w:val="0"/>
          <w:bCs w:val="0"/>
          <w:color w:val="auto"/>
          <w:spacing w:val="-5"/>
          <w:sz w:val="28"/>
          <w:szCs w:val="28"/>
          <w14:textOutline w14:w="4354" w14:cap="flat" w14:cmpd="sng">
            <w14:solidFill>
              <w14:srgbClr w14:val="000000"/>
            </w14:solidFill>
            <w14:prstDash w14:val="solid"/>
            <w14:miter w14:val="0"/>
          </w14:textOutline>
        </w:rPr>
        <w:t>地</w:t>
      </w:r>
      <w:r>
        <w:rPr>
          <w:rFonts w:hint="default" w:ascii="Times New Roman" w:hAnsi="Times New Roman" w:eastAsia="仿宋" w:cs="Times New Roman"/>
          <w:b w:val="0"/>
          <w:bCs w:val="0"/>
          <w:color w:val="auto"/>
          <w:spacing w:val="-5"/>
          <w:sz w:val="28"/>
          <w:szCs w:val="28"/>
        </w:rPr>
        <w:t xml:space="preserve">     </w:t>
      </w:r>
      <w:r>
        <w:rPr>
          <w:rFonts w:hint="default" w:ascii="Times New Roman" w:hAnsi="Times New Roman" w:eastAsia="仿宋" w:cs="Times New Roman"/>
          <w:b w:val="0"/>
          <w:bCs w:val="0"/>
          <w:color w:val="auto"/>
          <w:spacing w:val="-5"/>
          <w:sz w:val="28"/>
          <w:szCs w:val="28"/>
          <w14:textOutline w14:w="4354" w14:cap="flat" w14:cmpd="sng">
            <w14:solidFill>
              <w14:srgbClr w14:val="000000"/>
            </w14:solidFill>
            <w14:prstDash w14:val="solid"/>
            <w14:miter w14:val="0"/>
          </w14:textOutline>
        </w:rPr>
        <w:t>址：</w:t>
      </w:r>
      <w:r>
        <w:rPr>
          <w:rFonts w:hint="default" w:ascii="Times New Roman" w:hAnsi="Times New Roman" w:eastAsia="仿宋" w:cs="Times New Roman"/>
          <w:b w:val="0"/>
          <w:bCs w:val="0"/>
          <w:color w:val="auto"/>
          <w:spacing w:val="-5"/>
          <w:sz w:val="28"/>
          <w:szCs w:val="28"/>
          <w:lang w:val="en-US" w:eastAsia="zh-CN"/>
        </w:rPr>
        <w:t>福州市红庙岭循环经济生态产业园</w:t>
      </w:r>
    </w:p>
    <w:p w14:paraId="0DA7ADFB">
      <w:pPr>
        <w:keepNext w:val="0"/>
        <w:keepLines w:val="0"/>
        <w:pageBreakBefore w:val="0"/>
        <w:widowControl/>
        <w:kinsoku w:val="0"/>
        <w:wordWrap/>
        <w:overflowPunct/>
        <w:topLinePunct w:val="0"/>
        <w:autoSpaceDE/>
        <w:autoSpaceDN/>
        <w:bidi w:val="0"/>
        <w:adjustRightInd w:val="0"/>
        <w:snapToGrid w:val="0"/>
        <w:spacing w:after="200" w:line="360" w:lineRule="auto"/>
        <w:ind w:firstLine="0" w:firstLineChars="0"/>
        <w:textAlignment w:val="baseline"/>
        <w:outlineLvl w:val="9"/>
        <w:rPr>
          <w:rFonts w:hint="default" w:ascii="Times New Roman" w:hAnsi="Times New Roman" w:eastAsia="仿宋" w:cs="Times New Roman"/>
          <w:b w:val="0"/>
          <w:bCs w:val="0"/>
          <w:color w:val="auto"/>
          <w:sz w:val="28"/>
          <w:szCs w:val="28"/>
        </w:rPr>
      </w:pPr>
      <w:bookmarkStart w:id="4" w:name="_Toc22774"/>
      <w:r>
        <w:rPr>
          <w:rFonts w:hint="default" w:ascii="Times New Roman" w:hAnsi="Times New Roman" w:eastAsia="仿宋" w:cs="Times New Roman"/>
          <w:b w:val="0"/>
          <w:bCs w:val="0"/>
          <w:color w:val="auto"/>
          <w:sz w:val="28"/>
          <w:szCs w:val="28"/>
        </w:rPr>
        <w:br w:type="column"/>
      </w:r>
      <w:r>
        <w:rPr>
          <w:rFonts w:hint="default" w:ascii="Times New Roman" w:hAnsi="Times New Roman" w:eastAsia="仿宋" w:cs="Times New Roman"/>
          <w:b w:val="0"/>
          <w:bCs w:val="0"/>
          <w:color w:val="auto"/>
          <w:sz w:val="28"/>
          <w:szCs w:val="28"/>
          <w:lang w:val="en-US" w:eastAsia="zh-CN"/>
        </w:rPr>
        <w:t xml:space="preserve">  </w:t>
      </w:r>
      <w:r>
        <w:rPr>
          <w:rFonts w:hint="default" w:ascii="Times New Roman" w:hAnsi="Times New Roman" w:eastAsia="仿宋" w:cs="Times New Roman"/>
          <w:b w:val="0"/>
          <w:bCs w:val="0"/>
          <w:color w:val="auto"/>
          <w:spacing w:val="-6"/>
          <w:sz w:val="28"/>
          <w:szCs w:val="28"/>
          <w14:textOutline w14:w="4354" w14:cap="flat" w14:cmpd="sng">
            <w14:solidFill>
              <w14:srgbClr w14:val="000000"/>
            </w14:solidFill>
            <w14:prstDash w14:val="solid"/>
            <w14:miter w14:val="0"/>
          </w14:textOutline>
        </w:rPr>
        <w:t>编制单位：</w:t>
      </w:r>
      <w:r>
        <w:rPr>
          <w:rFonts w:hint="default" w:ascii="Times New Roman" w:hAnsi="Times New Roman" w:eastAsia="仿宋" w:cs="Times New Roman"/>
          <w:b/>
          <w:bCs/>
          <w:color w:val="auto"/>
          <w:spacing w:val="0"/>
          <w:sz w:val="28"/>
          <w:szCs w:val="28"/>
          <w:u w:val="single" w:color="auto"/>
          <w:lang w:val="en-US" w:eastAsia="en-US"/>
        </w:rPr>
        <w:t>福州市大新飞灰处理有限公司</w:t>
      </w:r>
      <w:r>
        <w:rPr>
          <w:rFonts w:hint="default" w:ascii="Times New Roman" w:hAnsi="Times New Roman" w:eastAsia="仿宋" w:cs="Times New Roman"/>
          <w:b w:val="0"/>
          <w:bCs w:val="0"/>
          <w:color w:val="auto"/>
          <w:spacing w:val="-4"/>
          <w:sz w:val="28"/>
          <w:szCs w:val="28"/>
          <w14:textOutline w14:w="4354" w14:cap="flat" w14:cmpd="sng">
            <w14:solidFill>
              <w14:srgbClr w14:val="000000"/>
            </w14:solidFill>
            <w14:prstDash w14:val="solid"/>
            <w14:miter w14:val="0"/>
          </w14:textOutline>
        </w:rPr>
        <w:t>（盖章）</w:t>
      </w:r>
      <w:bookmarkEnd w:id="4"/>
    </w:p>
    <w:p w14:paraId="4A1958C9">
      <w:pPr>
        <w:keepNext w:val="0"/>
        <w:keepLines w:val="0"/>
        <w:pageBreakBefore w:val="0"/>
        <w:widowControl/>
        <w:kinsoku w:val="0"/>
        <w:wordWrap/>
        <w:overflowPunct/>
        <w:topLinePunct w:val="0"/>
        <w:autoSpaceDE/>
        <w:autoSpaceDN/>
        <w:bidi w:val="0"/>
        <w:adjustRightInd w:val="0"/>
        <w:snapToGrid w:val="0"/>
        <w:spacing w:after="200" w:line="360" w:lineRule="auto"/>
        <w:ind w:left="0" w:firstLine="0" w:firstLineChars="0"/>
        <w:textAlignment w:val="baseline"/>
        <w:outlineLvl w:val="9"/>
        <w:rPr>
          <w:rFonts w:hint="default" w:ascii="Times New Roman" w:hAnsi="Times New Roman" w:eastAsia="仿宋" w:cs="Times New Roman"/>
          <w:b w:val="0"/>
          <w:bCs w:val="0"/>
          <w:color w:val="auto"/>
          <w:sz w:val="28"/>
          <w:szCs w:val="28"/>
          <w:lang w:val="en-US" w:eastAsia="zh-CN"/>
        </w:rPr>
      </w:pPr>
      <w:r>
        <w:rPr>
          <w:rFonts w:hint="default" w:ascii="Times New Roman" w:hAnsi="Times New Roman" w:eastAsia="仿宋" w:cs="Times New Roman"/>
          <w:b w:val="0"/>
          <w:bCs w:val="0"/>
          <w:color w:val="auto"/>
          <w:spacing w:val="-9"/>
          <w:sz w:val="28"/>
          <w:szCs w:val="28"/>
          <w14:textOutline w14:w="4354" w14:cap="flat" w14:cmpd="sng">
            <w14:solidFill>
              <w14:srgbClr w14:val="000000"/>
            </w14:solidFill>
            <w14:prstDash w14:val="solid"/>
            <w14:miter w14:val="0"/>
          </w14:textOutline>
        </w:rPr>
        <w:t>电</w:t>
      </w:r>
      <w:r>
        <w:rPr>
          <w:rFonts w:hint="default" w:ascii="Times New Roman" w:hAnsi="Times New Roman" w:eastAsia="仿宋" w:cs="Times New Roman"/>
          <w:b w:val="0"/>
          <w:bCs w:val="0"/>
          <w:color w:val="auto"/>
          <w:spacing w:val="4"/>
          <w:sz w:val="28"/>
          <w:szCs w:val="28"/>
        </w:rPr>
        <w:t xml:space="preserve">    </w:t>
      </w:r>
      <w:r>
        <w:rPr>
          <w:rFonts w:hint="default" w:ascii="Times New Roman" w:hAnsi="Times New Roman" w:eastAsia="仿宋" w:cs="Times New Roman"/>
          <w:b w:val="0"/>
          <w:bCs w:val="0"/>
          <w:color w:val="auto"/>
          <w:spacing w:val="-9"/>
          <w:sz w:val="28"/>
          <w:szCs w:val="28"/>
          <w14:textOutline w14:w="4354" w14:cap="flat" w14:cmpd="sng">
            <w14:solidFill>
              <w14:srgbClr w14:val="000000"/>
            </w14:solidFill>
            <w14:prstDash w14:val="solid"/>
            <w14:miter w14:val="0"/>
          </w14:textOutline>
        </w:rPr>
        <w:t>话：</w:t>
      </w:r>
      <w:r>
        <w:rPr>
          <w:rFonts w:hint="default" w:ascii="Times New Roman" w:hAnsi="Times New Roman" w:eastAsia="仿宋" w:cs="Times New Roman"/>
          <w:b w:val="0"/>
          <w:bCs w:val="0"/>
          <w:color w:val="auto"/>
          <w:spacing w:val="-9"/>
          <w:sz w:val="28"/>
          <w:szCs w:val="28"/>
        </w:rPr>
        <w:t>0591-83257265</w:t>
      </w:r>
      <w:r>
        <w:rPr>
          <w:rFonts w:hint="default" w:ascii="Times New Roman" w:hAnsi="Times New Roman" w:eastAsia="仿宋" w:cs="Times New Roman"/>
          <w:b w:val="0"/>
          <w:bCs w:val="0"/>
          <w:color w:val="auto"/>
          <w:spacing w:val="-9"/>
          <w:sz w:val="28"/>
          <w:szCs w:val="28"/>
          <w:lang w:val="en-US" w:eastAsia="zh-CN"/>
        </w:rPr>
        <w:t xml:space="preserve"> </w:t>
      </w:r>
    </w:p>
    <w:p w14:paraId="27C27D3C">
      <w:pPr>
        <w:keepNext w:val="0"/>
        <w:keepLines w:val="0"/>
        <w:pageBreakBefore w:val="0"/>
        <w:widowControl/>
        <w:kinsoku w:val="0"/>
        <w:wordWrap/>
        <w:overflowPunct/>
        <w:topLinePunct w:val="0"/>
        <w:autoSpaceDE/>
        <w:autoSpaceDN/>
        <w:bidi w:val="0"/>
        <w:adjustRightInd w:val="0"/>
        <w:snapToGrid w:val="0"/>
        <w:spacing w:after="200" w:line="360" w:lineRule="auto"/>
        <w:ind w:left="0" w:firstLine="0" w:firstLineChars="0"/>
        <w:textAlignment w:val="baseline"/>
        <w:outlineLvl w:val="9"/>
        <w:rPr>
          <w:rFonts w:hint="default" w:ascii="Times New Roman" w:hAnsi="Times New Roman" w:eastAsia="仿宋" w:cs="Times New Roman"/>
          <w:b w:val="0"/>
          <w:bCs w:val="0"/>
          <w:color w:val="auto"/>
          <w:sz w:val="28"/>
          <w:szCs w:val="28"/>
        </w:rPr>
      </w:pPr>
      <w:r>
        <w:rPr>
          <w:rFonts w:hint="default" w:ascii="Times New Roman" w:hAnsi="Times New Roman" w:eastAsia="仿宋" w:cs="Times New Roman"/>
          <w:b w:val="0"/>
          <w:bCs w:val="0"/>
          <w:color w:val="auto"/>
          <w:spacing w:val="-7"/>
          <w:sz w:val="28"/>
          <w:szCs w:val="28"/>
          <w14:textOutline w14:w="4354" w14:cap="flat" w14:cmpd="sng">
            <w14:solidFill>
              <w14:srgbClr w14:val="000000"/>
            </w14:solidFill>
            <w14:prstDash w14:val="solid"/>
            <w14:miter w14:val="0"/>
          </w14:textOutline>
        </w:rPr>
        <w:t>传</w:t>
      </w:r>
      <w:r>
        <w:rPr>
          <w:rFonts w:hint="default" w:ascii="Times New Roman" w:hAnsi="Times New Roman" w:eastAsia="仿宋" w:cs="Times New Roman"/>
          <w:b w:val="0"/>
          <w:bCs w:val="0"/>
          <w:color w:val="auto"/>
          <w:spacing w:val="19"/>
          <w:sz w:val="28"/>
          <w:szCs w:val="28"/>
        </w:rPr>
        <w:t xml:space="preserve">    </w:t>
      </w:r>
      <w:r>
        <w:rPr>
          <w:rFonts w:hint="default" w:ascii="Times New Roman" w:hAnsi="Times New Roman" w:eastAsia="仿宋" w:cs="Times New Roman"/>
          <w:b w:val="0"/>
          <w:bCs w:val="0"/>
          <w:color w:val="auto"/>
          <w:spacing w:val="-7"/>
          <w:sz w:val="28"/>
          <w:szCs w:val="28"/>
          <w14:textOutline w14:w="4354" w14:cap="flat" w14:cmpd="sng">
            <w14:solidFill>
              <w14:srgbClr w14:val="000000"/>
            </w14:solidFill>
            <w14:prstDash w14:val="solid"/>
            <w14:miter w14:val="0"/>
          </w14:textOutline>
        </w:rPr>
        <w:t>真：</w:t>
      </w:r>
      <w:r>
        <w:rPr>
          <w:rFonts w:hint="default" w:ascii="Times New Roman" w:hAnsi="Times New Roman" w:eastAsia="仿宋" w:cs="Times New Roman"/>
          <w:b w:val="0"/>
          <w:bCs w:val="0"/>
          <w:color w:val="auto"/>
          <w:spacing w:val="-7"/>
          <w:sz w:val="28"/>
          <w:szCs w:val="28"/>
        </w:rPr>
        <w:t>0591-83817593</w:t>
      </w:r>
    </w:p>
    <w:p w14:paraId="2262F947">
      <w:pPr>
        <w:keepNext w:val="0"/>
        <w:keepLines w:val="0"/>
        <w:pageBreakBefore w:val="0"/>
        <w:widowControl/>
        <w:kinsoku w:val="0"/>
        <w:wordWrap/>
        <w:overflowPunct/>
        <w:topLinePunct w:val="0"/>
        <w:autoSpaceDE/>
        <w:autoSpaceDN/>
        <w:bidi w:val="0"/>
        <w:adjustRightInd w:val="0"/>
        <w:snapToGrid w:val="0"/>
        <w:spacing w:after="200" w:line="360" w:lineRule="auto"/>
        <w:ind w:left="0" w:firstLine="0" w:firstLineChars="0"/>
        <w:textAlignment w:val="baseline"/>
        <w:outlineLvl w:val="9"/>
        <w:rPr>
          <w:rFonts w:hint="default" w:ascii="Times New Roman" w:hAnsi="Times New Roman" w:eastAsia="仿宋" w:cs="Times New Roman"/>
          <w:b w:val="0"/>
          <w:bCs w:val="0"/>
          <w:color w:val="auto"/>
          <w:sz w:val="28"/>
          <w:szCs w:val="28"/>
        </w:rPr>
      </w:pPr>
      <w:r>
        <w:rPr>
          <w:rFonts w:hint="default" w:ascii="Times New Roman" w:hAnsi="Times New Roman" w:eastAsia="仿宋" w:cs="Times New Roman"/>
          <w:b w:val="0"/>
          <w:bCs w:val="0"/>
          <w:color w:val="auto"/>
          <w:spacing w:val="-14"/>
          <w:sz w:val="28"/>
          <w:szCs w:val="28"/>
          <w14:textOutline w14:w="4354" w14:cap="flat" w14:cmpd="sng">
            <w14:solidFill>
              <w14:srgbClr w14:val="000000"/>
            </w14:solidFill>
            <w14:prstDash w14:val="solid"/>
            <w14:miter w14:val="0"/>
          </w14:textOutline>
        </w:rPr>
        <w:t>邮</w:t>
      </w:r>
      <w:r>
        <w:rPr>
          <w:rFonts w:hint="default" w:ascii="Times New Roman" w:hAnsi="Times New Roman" w:eastAsia="仿宋" w:cs="Times New Roman"/>
          <w:b w:val="0"/>
          <w:bCs w:val="0"/>
          <w:color w:val="auto"/>
          <w:spacing w:val="-14"/>
          <w:sz w:val="28"/>
          <w:szCs w:val="28"/>
        </w:rPr>
        <w:t xml:space="preserve">     </w:t>
      </w:r>
      <w:r>
        <w:rPr>
          <w:rFonts w:hint="default" w:ascii="Times New Roman" w:hAnsi="Times New Roman" w:eastAsia="仿宋" w:cs="Times New Roman"/>
          <w:b w:val="0"/>
          <w:bCs w:val="0"/>
          <w:color w:val="auto"/>
          <w:spacing w:val="-14"/>
          <w:sz w:val="28"/>
          <w:szCs w:val="28"/>
          <w14:textOutline w14:w="4354" w14:cap="flat" w14:cmpd="sng">
            <w14:solidFill>
              <w14:srgbClr w14:val="000000"/>
            </w14:solidFill>
            <w14:prstDash w14:val="solid"/>
            <w14:miter w14:val="0"/>
          </w14:textOutline>
        </w:rPr>
        <w:t>编：</w:t>
      </w:r>
      <w:r>
        <w:rPr>
          <w:rFonts w:hint="default" w:ascii="Times New Roman" w:hAnsi="Times New Roman" w:eastAsia="仿宋" w:cs="Times New Roman"/>
          <w:b w:val="0"/>
          <w:bCs w:val="0"/>
          <w:color w:val="auto"/>
          <w:spacing w:val="-14"/>
          <w:sz w:val="28"/>
          <w:szCs w:val="28"/>
        </w:rPr>
        <w:t>350024</w:t>
      </w:r>
    </w:p>
    <w:p w14:paraId="11B91B91">
      <w:pPr>
        <w:keepNext w:val="0"/>
        <w:keepLines w:val="0"/>
        <w:pageBreakBefore w:val="0"/>
        <w:widowControl/>
        <w:kinsoku w:val="0"/>
        <w:wordWrap/>
        <w:overflowPunct/>
        <w:topLinePunct w:val="0"/>
        <w:autoSpaceDE/>
        <w:autoSpaceDN/>
        <w:bidi w:val="0"/>
        <w:adjustRightInd w:val="0"/>
        <w:snapToGrid w:val="0"/>
        <w:spacing w:after="200" w:line="360" w:lineRule="auto"/>
        <w:ind w:left="0" w:leftChars="0" w:firstLine="0" w:firstLineChars="0"/>
        <w:textAlignment w:val="baseline"/>
        <w:outlineLvl w:val="9"/>
        <w:rPr>
          <w:rFonts w:hint="default" w:ascii="Times New Roman" w:hAnsi="Times New Roman" w:eastAsia="仿宋" w:cs="Times New Roman"/>
          <w:color w:val="auto"/>
          <w:sz w:val="28"/>
          <w:szCs w:val="28"/>
        </w:rPr>
      </w:pPr>
      <w:r>
        <w:rPr>
          <w:rFonts w:hint="default" w:ascii="Times New Roman" w:hAnsi="Times New Roman" w:eastAsia="仿宋" w:cs="Times New Roman"/>
          <w:b w:val="0"/>
          <w:bCs w:val="0"/>
          <w:color w:val="auto"/>
          <w:spacing w:val="-5"/>
          <w:sz w:val="28"/>
          <w:szCs w:val="28"/>
          <w14:textOutline w14:w="4354" w14:cap="flat" w14:cmpd="sng">
            <w14:solidFill>
              <w14:srgbClr w14:val="000000"/>
            </w14:solidFill>
            <w14:prstDash w14:val="solid"/>
            <w14:miter w14:val="0"/>
          </w14:textOutline>
        </w:rPr>
        <w:t>地</w:t>
      </w:r>
      <w:r>
        <w:rPr>
          <w:rFonts w:hint="default" w:ascii="Times New Roman" w:hAnsi="Times New Roman" w:eastAsia="仿宋" w:cs="Times New Roman"/>
          <w:b w:val="0"/>
          <w:bCs w:val="0"/>
          <w:color w:val="auto"/>
          <w:spacing w:val="-5"/>
          <w:sz w:val="28"/>
          <w:szCs w:val="28"/>
        </w:rPr>
        <w:t xml:space="preserve">     </w:t>
      </w:r>
      <w:r>
        <w:rPr>
          <w:rFonts w:hint="default" w:ascii="Times New Roman" w:hAnsi="Times New Roman" w:eastAsia="仿宋" w:cs="Times New Roman"/>
          <w:b w:val="0"/>
          <w:bCs w:val="0"/>
          <w:color w:val="auto"/>
          <w:spacing w:val="-5"/>
          <w:sz w:val="28"/>
          <w:szCs w:val="28"/>
          <w14:textOutline w14:w="4354" w14:cap="flat" w14:cmpd="sng">
            <w14:solidFill>
              <w14:srgbClr w14:val="000000"/>
            </w14:solidFill>
            <w14:prstDash w14:val="solid"/>
            <w14:miter w14:val="0"/>
          </w14:textOutline>
        </w:rPr>
        <w:t>址：</w:t>
      </w:r>
      <w:r>
        <w:rPr>
          <w:rFonts w:hint="default" w:ascii="Times New Roman" w:hAnsi="Times New Roman" w:eastAsia="仿宋" w:cs="Times New Roman"/>
          <w:b w:val="0"/>
          <w:bCs w:val="0"/>
          <w:color w:val="auto"/>
          <w:spacing w:val="-5"/>
          <w:sz w:val="28"/>
          <w:szCs w:val="28"/>
          <w:lang w:val="en-US" w:eastAsia="zh-CN"/>
        </w:rPr>
        <w:t>福州市红庙岭循环经济生态产业园</w:t>
      </w:r>
    </w:p>
    <w:p w14:paraId="716C6781">
      <w:pPr>
        <w:keepNext w:val="0"/>
        <w:keepLines w:val="0"/>
        <w:pageBreakBefore w:val="0"/>
        <w:widowControl/>
        <w:kinsoku w:val="0"/>
        <w:wordWrap/>
        <w:overflowPunct/>
        <w:topLinePunct w:val="0"/>
        <w:autoSpaceDE/>
        <w:autoSpaceDN/>
        <w:bidi w:val="0"/>
        <w:adjustRightInd w:val="0"/>
        <w:snapToGrid w:val="0"/>
        <w:spacing w:after="200" w:line="360" w:lineRule="auto"/>
        <w:ind w:left="0" w:leftChars="0" w:firstLine="0" w:firstLineChars="0"/>
        <w:textAlignment w:val="baseline"/>
        <w:rPr>
          <w:rFonts w:hint="default" w:ascii="Times New Roman" w:hAnsi="Times New Roman" w:eastAsia="仿宋" w:cs="Times New Roman"/>
          <w:color w:val="auto"/>
          <w:sz w:val="28"/>
          <w:szCs w:val="28"/>
        </w:rPr>
        <w:sectPr>
          <w:type w:val="continuous"/>
          <w:pgSz w:w="11912" w:h="16841"/>
          <w:pgMar w:top="1289" w:right="1049" w:bottom="0" w:left="1051" w:header="1078" w:footer="0" w:gutter="0"/>
          <w:cols w:equalWidth="0" w:num="2">
            <w:col w:w="4694" w:space="100"/>
            <w:col w:w="5018"/>
          </w:cols>
        </w:sectPr>
      </w:pPr>
    </w:p>
    <w:sdt>
      <w:sdtPr>
        <w:rPr>
          <w:rFonts w:hint="default" w:ascii="Times New Roman" w:hAnsi="Times New Roman" w:eastAsia="宋体" w:cs="Times New Roman"/>
          <w:snapToGrid w:val="0"/>
          <w:color w:val="auto"/>
          <w:kern w:val="0"/>
          <w:sz w:val="21"/>
          <w:szCs w:val="21"/>
          <w:lang w:val="en-US" w:eastAsia="en-US" w:bidi="ar-SA"/>
        </w:rPr>
        <w:id w:val="147464579"/>
        <w15:color w:val="DBDBDB"/>
        <w:docPartObj>
          <w:docPartGallery w:val="Table of Contents"/>
          <w:docPartUnique/>
        </w:docPartObj>
      </w:sdtPr>
      <w:sdtEndPr>
        <w:rPr>
          <w:rFonts w:hint="default" w:ascii="Times New Roman" w:hAnsi="Times New Roman" w:eastAsia="Times New Roman" w:cs="Times New Roman"/>
          <w:snapToGrid w:val="0"/>
          <w:color w:val="auto"/>
          <w:kern w:val="0"/>
          <w:sz w:val="24"/>
          <w:szCs w:val="24"/>
          <w:lang w:val="en-US" w:eastAsia="en-US" w:bidi="ar-SA"/>
        </w:rPr>
      </w:sdtEndPr>
      <w:sdtContent>
        <w:p w14:paraId="024EB5AC">
          <w:pPr>
            <w:spacing w:before="0" w:beforeLines="0" w:after="0" w:afterLines="0" w:line="240" w:lineRule="auto"/>
            <w:ind w:left="0" w:leftChars="0" w:right="0" w:rightChars="0" w:firstLine="0" w:firstLineChars="0"/>
            <w:jc w:val="center"/>
            <w:rPr>
              <w:rStyle w:val="31"/>
              <w:rFonts w:hint="default"/>
              <w:color w:val="auto"/>
            </w:rPr>
          </w:pPr>
          <w:r>
            <w:rPr>
              <w:rStyle w:val="31"/>
              <w:rFonts w:hint="default"/>
              <w:color w:val="auto"/>
            </w:rPr>
            <w:t>目录</w:t>
          </w:r>
        </w:p>
        <w:p w14:paraId="46EFEE03">
          <w:pPr>
            <w:pStyle w:val="11"/>
            <w:tabs>
              <w:tab w:val="right" w:leader="dot" w:pos="9812"/>
            </w:tabs>
          </w:pPr>
          <w:r>
            <w:rPr>
              <w:rFonts w:hint="default" w:ascii="Times New Roman" w:hAnsi="Times New Roman" w:eastAsia="Times New Roman" w:cs="Times New Roman"/>
              <w:color w:val="auto"/>
              <w:sz w:val="24"/>
              <w:szCs w:val="24"/>
            </w:rPr>
            <w:fldChar w:fldCharType="begin"/>
          </w:r>
          <w:r>
            <w:rPr>
              <w:rFonts w:hint="default" w:ascii="Times New Roman" w:hAnsi="Times New Roman" w:eastAsia="Times New Roman" w:cs="Times New Roman"/>
              <w:color w:val="auto"/>
              <w:sz w:val="24"/>
              <w:szCs w:val="24"/>
            </w:rPr>
            <w:instrText xml:space="preserve">TOC \o "1-3" \h \u </w:instrText>
          </w:r>
          <w:r>
            <w:rPr>
              <w:rFonts w:hint="default" w:ascii="Times New Roman" w:hAnsi="Times New Roman" w:eastAsia="Times New Roman" w:cs="Times New Roman"/>
              <w:color w:val="auto"/>
              <w:sz w:val="24"/>
              <w:szCs w:val="24"/>
            </w:rPr>
            <w:fldChar w:fldCharType="separate"/>
          </w: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_Toc13048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1项目概况</w:t>
          </w:r>
          <w:r>
            <w:tab/>
          </w:r>
          <w:r>
            <w:fldChar w:fldCharType="begin"/>
          </w:r>
          <w:r>
            <w:instrText xml:space="preserve"> PAGEREF _Toc13048 \h </w:instrText>
          </w:r>
          <w:r>
            <w:fldChar w:fldCharType="separate"/>
          </w:r>
          <w:r>
            <w:t>1</w:t>
          </w:r>
          <w:r>
            <w:fldChar w:fldCharType="end"/>
          </w:r>
          <w:r>
            <w:rPr>
              <w:rFonts w:hint="default" w:ascii="Times New Roman" w:hAnsi="Times New Roman" w:eastAsia="Times New Roman" w:cs="Times New Roman"/>
              <w:color w:val="auto"/>
              <w:szCs w:val="24"/>
            </w:rPr>
            <w:fldChar w:fldCharType="end"/>
          </w:r>
        </w:p>
        <w:p w14:paraId="4F8B484C">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_Toc18382 </w:instrText>
          </w:r>
          <w:r>
            <w:rPr>
              <w:rFonts w:hint="default" w:ascii="Times New Roman" w:hAnsi="Times New Roman" w:eastAsia="Times New Roman" w:cs="Times New Roman"/>
              <w:szCs w:val="24"/>
            </w:rPr>
            <w:fldChar w:fldCharType="separate"/>
          </w:r>
          <w:r>
            <w:rPr>
              <w:rFonts w:hint="default"/>
              <w:lang w:val="en-US" w:eastAsia="zh-CN"/>
            </w:rPr>
            <w:t>1.1</w:t>
          </w:r>
          <w:r>
            <w:rPr>
              <w:rFonts w:hint="eastAsia"/>
              <w:lang w:val="en-US" w:eastAsia="zh-CN"/>
            </w:rPr>
            <w:t>项目基本情况</w:t>
          </w:r>
          <w:r>
            <w:tab/>
          </w:r>
          <w:r>
            <w:fldChar w:fldCharType="begin"/>
          </w:r>
          <w:r>
            <w:instrText xml:space="preserve"> PAGEREF _Toc18382 \h </w:instrText>
          </w:r>
          <w:r>
            <w:fldChar w:fldCharType="separate"/>
          </w:r>
          <w:r>
            <w:t>1</w:t>
          </w:r>
          <w:r>
            <w:fldChar w:fldCharType="end"/>
          </w:r>
          <w:r>
            <w:rPr>
              <w:rFonts w:hint="default" w:ascii="Times New Roman" w:hAnsi="Times New Roman" w:eastAsia="Times New Roman" w:cs="Times New Roman"/>
              <w:color w:val="auto"/>
              <w:szCs w:val="24"/>
            </w:rPr>
            <w:fldChar w:fldCharType="end"/>
          </w:r>
        </w:p>
        <w:p w14:paraId="583E5238">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_Toc32686 </w:instrText>
          </w:r>
          <w:r>
            <w:rPr>
              <w:rFonts w:hint="default" w:ascii="Times New Roman" w:hAnsi="Times New Roman" w:eastAsia="Times New Roman" w:cs="Times New Roman"/>
              <w:szCs w:val="24"/>
            </w:rPr>
            <w:fldChar w:fldCharType="separate"/>
          </w:r>
          <w:r>
            <w:rPr>
              <w:rFonts w:hint="default"/>
              <w:lang w:val="en-US" w:eastAsia="zh-CN"/>
            </w:rPr>
            <w:t>1.2验收工作概况</w:t>
          </w:r>
          <w:r>
            <w:tab/>
          </w:r>
          <w:r>
            <w:fldChar w:fldCharType="begin"/>
          </w:r>
          <w:r>
            <w:instrText xml:space="preserve"> PAGEREF _Toc32686 \h </w:instrText>
          </w:r>
          <w:r>
            <w:fldChar w:fldCharType="separate"/>
          </w:r>
          <w:r>
            <w:t>2</w:t>
          </w:r>
          <w:r>
            <w:fldChar w:fldCharType="end"/>
          </w:r>
          <w:r>
            <w:rPr>
              <w:rFonts w:hint="default" w:ascii="Times New Roman" w:hAnsi="Times New Roman" w:eastAsia="Times New Roman" w:cs="Times New Roman"/>
              <w:color w:val="auto"/>
              <w:szCs w:val="24"/>
            </w:rPr>
            <w:fldChar w:fldCharType="end"/>
          </w:r>
        </w:p>
        <w:p w14:paraId="1D361460">
          <w:pPr>
            <w:pStyle w:val="11"/>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_Toc13911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2验收依据</w:t>
          </w:r>
          <w:r>
            <w:tab/>
          </w:r>
          <w:r>
            <w:fldChar w:fldCharType="begin"/>
          </w:r>
          <w:r>
            <w:instrText xml:space="preserve"> PAGEREF _Toc13911 \h </w:instrText>
          </w:r>
          <w:r>
            <w:fldChar w:fldCharType="separate"/>
          </w:r>
          <w:r>
            <w:t>3</w:t>
          </w:r>
          <w:r>
            <w:fldChar w:fldCharType="end"/>
          </w:r>
          <w:r>
            <w:rPr>
              <w:rFonts w:hint="default" w:ascii="Times New Roman" w:hAnsi="Times New Roman" w:eastAsia="Times New Roman" w:cs="Times New Roman"/>
              <w:color w:val="auto"/>
              <w:szCs w:val="24"/>
            </w:rPr>
            <w:fldChar w:fldCharType="end"/>
          </w:r>
        </w:p>
        <w:p w14:paraId="1F390969">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_Toc29484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2.1建设项目环境保护相关法律、法规和规章制度</w:t>
          </w:r>
          <w:r>
            <w:tab/>
          </w:r>
          <w:r>
            <w:fldChar w:fldCharType="begin"/>
          </w:r>
          <w:r>
            <w:instrText xml:space="preserve"> PAGEREF _Toc29484 \h </w:instrText>
          </w:r>
          <w:r>
            <w:fldChar w:fldCharType="separate"/>
          </w:r>
          <w:r>
            <w:t>3</w:t>
          </w:r>
          <w:r>
            <w:fldChar w:fldCharType="end"/>
          </w:r>
          <w:r>
            <w:rPr>
              <w:rFonts w:hint="default" w:ascii="Times New Roman" w:hAnsi="Times New Roman" w:eastAsia="Times New Roman" w:cs="Times New Roman"/>
              <w:color w:val="auto"/>
              <w:szCs w:val="24"/>
            </w:rPr>
            <w:fldChar w:fldCharType="end"/>
          </w:r>
        </w:p>
        <w:p w14:paraId="7EEFA4DF">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_Toc26418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2.2建设项目竣工环境保护验收技术规范</w:t>
          </w:r>
          <w:r>
            <w:tab/>
          </w:r>
          <w:r>
            <w:fldChar w:fldCharType="begin"/>
          </w:r>
          <w:r>
            <w:instrText xml:space="preserve"> PAGEREF _Toc26418 \h </w:instrText>
          </w:r>
          <w:r>
            <w:fldChar w:fldCharType="separate"/>
          </w:r>
          <w:r>
            <w:t>4</w:t>
          </w:r>
          <w:r>
            <w:fldChar w:fldCharType="end"/>
          </w:r>
          <w:r>
            <w:rPr>
              <w:rFonts w:hint="default" w:ascii="Times New Roman" w:hAnsi="Times New Roman" w:eastAsia="Times New Roman" w:cs="Times New Roman"/>
              <w:color w:val="auto"/>
              <w:szCs w:val="24"/>
            </w:rPr>
            <w:fldChar w:fldCharType="end"/>
          </w:r>
        </w:p>
        <w:p w14:paraId="7DED0133">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_Toc25794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2.3建设项目环境影响报告书（表）及其审批部门决定</w:t>
          </w:r>
          <w:r>
            <w:tab/>
          </w:r>
          <w:r>
            <w:fldChar w:fldCharType="begin"/>
          </w:r>
          <w:r>
            <w:instrText xml:space="preserve"> PAGEREF _Toc25794 \h </w:instrText>
          </w:r>
          <w:r>
            <w:fldChar w:fldCharType="separate"/>
          </w:r>
          <w:r>
            <w:t>4</w:t>
          </w:r>
          <w:r>
            <w:fldChar w:fldCharType="end"/>
          </w:r>
          <w:r>
            <w:rPr>
              <w:rFonts w:hint="default" w:ascii="Times New Roman" w:hAnsi="Times New Roman" w:eastAsia="Times New Roman" w:cs="Times New Roman"/>
              <w:color w:val="auto"/>
              <w:szCs w:val="24"/>
            </w:rPr>
            <w:fldChar w:fldCharType="end"/>
          </w:r>
        </w:p>
        <w:p w14:paraId="3E0B1137">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_Toc5018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2.4其他相关文件</w:t>
          </w:r>
          <w:r>
            <w:tab/>
          </w:r>
          <w:r>
            <w:fldChar w:fldCharType="begin"/>
          </w:r>
          <w:r>
            <w:instrText xml:space="preserve"> PAGEREF _Toc5018 \h </w:instrText>
          </w:r>
          <w:r>
            <w:fldChar w:fldCharType="separate"/>
          </w:r>
          <w:r>
            <w:t>4</w:t>
          </w:r>
          <w:r>
            <w:fldChar w:fldCharType="end"/>
          </w:r>
          <w:r>
            <w:rPr>
              <w:rFonts w:hint="default" w:ascii="Times New Roman" w:hAnsi="Times New Roman" w:eastAsia="Times New Roman" w:cs="Times New Roman"/>
              <w:color w:val="auto"/>
              <w:szCs w:val="24"/>
            </w:rPr>
            <w:fldChar w:fldCharType="end"/>
          </w:r>
        </w:p>
        <w:p w14:paraId="75EB02F7">
          <w:pPr>
            <w:pStyle w:val="11"/>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_Toc13097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3项目建设情况</w:t>
          </w:r>
          <w:r>
            <w:tab/>
          </w:r>
          <w:r>
            <w:fldChar w:fldCharType="begin"/>
          </w:r>
          <w:r>
            <w:instrText xml:space="preserve"> PAGEREF _Toc13097 \h </w:instrText>
          </w:r>
          <w:r>
            <w:fldChar w:fldCharType="separate"/>
          </w:r>
          <w:r>
            <w:t>5</w:t>
          </w:r>
          <w:r>
            <w:fldChar w:fldCharType="end"/>
          </w:r>
          <w:r>
            <w:rPr>
              <w:rFonts w:hint="default" w:ascii="Times New Roman" w:hAnsi="Times New Roman" w:eastAsia="Times New Roman" w:cs="Times New Roman"/>
              <w:color w:val="auto"/>
              <w:szCs w:val="24"/>
            </w:rPr>
            <w:fldChar w:fldCharType="end"/>
          </w:r>
        </w:p>
        <w:p w14:paraId="353BEB5E">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_Toc10282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3.1地理位置及厂区平面布置</w:t>
          </w:r>
          <w:r>
            <w:tab/>
          </w:r>
          <w:r>
            <w:fldChar w:fldCharType="begin"/>
          </w:r>
          <w:r>
            <w:instrText xml:space="preserve"> PAGEREF _Toc10282 \h </w:instrText>
          </w:r>
          <w:r>
            <w:fldChar w:fldCharType="separate"/>
          </w:r>
          <w:r>
            <w:t>5</w:t>
          </w:r>
          <w:r>
            <w:fldChar w:fldCharType="end"/>
          </w:r>
          <w:r>
            <w:rPr>
              <w:rFonts w:hint="default" w:ascii="Times New Roman" w:hAnsi="Times New Roman" w:eastAsia="Times New Roman" w:cs="Times New Roman"/>
              <w:color w:val="auto"/>
              <w:szCs w:val="24"/>
            </w:rPr>
            <w:fldChar w:fldCharType="end"/>
          </w:r>
        </w:p>
        <w:p w14:paraId="5622E374">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_Toc1606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3.2建设内容</w:t>
          </w:r>
          <w:r>
            <w:tab/>
          </w:r>
          <w:r>
            <w:fldChar w:fldCharType="begin"/>
          </w:r>
          <w:r>
            <w:instrText xml:space="preserve"> PAGEREF _Toc1606 \h </w:instrText>
          </w:r>
          <w:r>
            <w:fldChar w:fldCharType="separate"/>
          </w:r>
          <w:r>
            <w:t>8</w:t>
          </w:r>
          <w:r>
            <w:fldChar w:fldCharType="end"/>
          </w:r>
          <w:r>
            <w:rPr>
              <w:rFonts w:hint="default" w:ascii="Times New Roman" w:hAnsi="Times New Roman" w:eastAsia="Times New Roman" w:cs="Times New Roman"/>
              <w:color w:val="auto"/>
              <w:szCs w:val="24"/>
            </w:rPr>
            <w:fldChar w:fldCharType="end"/>
          </w:r>
        </w:p>
        <w:p w14:paraId="00390A0C">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_Toc19462 </w:instrText>
          </w:r>
          <w:r>
            <w:rPr>
              <w:rFonts w:hint="default" w:ascii="Times New Roman" w:hAnsi="Times New Roman" w:eastAsia="Times New Roman" w:cs="Times New Roman"/>
              <w:szCs w:val="24"/>
            </w:rPr>
            <w:fldChar w:fldCharType="separate"/>
          </w:r>
          <w:r>
            <w:rPr>
              <w:rFonts w:hint="default" w:ascii="Times New Roman" w:hAnsi="Times New Roman" w:cs="Times New Roman"/>
              <w:lang w:val="en-US" w:eastAsia="zh-CN"/>
            </w:rPr>
            <w:t>3.2.1项目产品及生产规模</w:t>
          </w:r>
          <w:r>
            <w:tab/>
          </w:r>
          <w:r>
            <w:fldChar w:fldCharType="begin"/>
          </w:r>
          <w:r>
            <w:instrText xml:space="preserve"> PAGEREF _Toc19462 \h </w:instrText>
          </w:r>
          <w:r>
            <w:fldChar w:fldCharType="separate"/>
          </w:r>
          <w:r>
            <w:t>8</w:t>
          </w:r>
          <w:r>
            <w:fldChar w:fldCharType="end"/>
          </w:r>
          <w:r>
            <w:rPr>
              <w:rFonts w:hint="default" w:ascii="Times New Roman" w:hAnsi="Times New Roman" w:eastAsia="Times New Roman" w:cs="Times New Roman"/>
              <w:color w:val="auto"/>
              <w:szCs w:val="24"/>
            </w:rPr>
            <w:fldChar w:fldCharType="end"/>
          </w:r>
        </w:p>
        <w:p w14:paraId="78614B6F">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_Toc21567 </w:instrText>
          </w:r>
          <w:r>
            <w:rPr>
              <w:rFonts w:hint="default" w:ascii="Times New Roman" w:hAnsi="Times New Roman" w:eastAsia="Times New Roman" w:cs="Times New Roman"/>
              <w:szCs w:val="24"/>
            </w:rPr>
            <w:fldChar w:fldCharType="separate"/>
          </w:r>
          <w:r>
            <w:rPr>
              <w:rFonts w:hint="default" w:ascii="Times New Roman" w:hAnsi="Times New Roman" w:cs="Times New Roman"/>
              <w:lang w:val="en-US" w:eastAsia="zh-CN"/>
            </w:rPr>
            <w:t>3.2.2项目投资金额</w:t>
          </w:r>
          <w:r>
            <w:tab/>
          </w:r>
          <w:r>
            <w:fldChar w:fldCharType="begin"/>
          </w:r>
          <w:r>
            <w:instrText xml:space="preserve"> PAGEREF _Toc21567 \h </w:instrText>
          </w:r>
          <w:r>
            <w:fldChar w:fldCharType="separate"/>
          </w:r>
          <w:r>
            <w:t>8</w:t>
          </w:r>
          <w:r>
            <w:fldChar w:fldCharType="end"/>
          </w:r>
          <w:r>
            <w:rPr>
              <w:rFonts w:hint="default" w:ascii="Times New Roman" w:hAnsi="Times New Roman" w:eastAsia="Times New Roman" w:cs="Times New Roman"/>
              <w:color w:val="auto"/>
              <w:szCs w:val="24"/>
            </w:rPr>
            <w:fldChar w:fldCharType="end"/>
          </w:r>
        </w:p>
        <w:p w14:paraId="052B960C">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_Toc540 </w:instrText>
          </w:r>
          <w:r>
            <w:rPr>
              <w:rFonts w:hint="default" w:ascii="Times New Roman" w:hAnsi="Times New Roman" w:eastAsia="Times New Roman" w:cs="Times New Roman"/>
              <w:szCs w:val="24"/>
            </w:rPr>
            <w:fldChar w:fldCharType="separate"/>
          </w:r>
          <w:r>
            <w:rPr>
              <w:rFonts w:hint="default" w:ascii="Times New Roman" w:hAnsi="Times New Roman" w:cs="Times New Roman"/>
              <w:lang w:val="en-US" w:eastAsia="zh-CN"/>
            </w:rPr>
            <w:t>3.2.3项目组成</w:t>
          </w:r>
          <w:r>
            <w:tab/>
          </w:r>
          <w:r>
            <w:fldChar w:fldCharType="begin"/>
          </w:r>
          <w:r>
            <w:instrText xml:space="preserve"> PAGEREF _Toc540 \h </w:instrText>
          </w:r>
          <w:r>
            <w:fldChar w:fldCharType="separate"/>
          </w:r>
          <w:r>
            <w:t>8</w:t>
          </w:r>
          <w:r>
            <w:fldChar w:fldCharType="end"/>
          </w:r>
          <w:r>
            <w:rPr>
              <w:rFonts w:hint="default" w:ascii="Times New Roman" w:hAnsi="Times New Roman" w:eastAsia="Times New Roman" w:cs="Times New Roman"/>
              <w:color w:val="auto"/>
              <w:szCs w:val="24"/>
            </w:rPr>
            <w:fldChar w:fldCharType="end"/>
          </w:r>
        </w:p>
        <w:p w14:paraId="771BE09D">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_Toc27677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3.3主要原辅材料及燃料</w:t>
          </w:r>
          <w:r>
            <w:tab/>
          </w:r>
          <w:r>
            <w:fldChar w:fldCharType="begin"/>
          </w:r>
          <w:r>
            <w:instrText xml:space="preserve"> PAGEREF _Toc27677 \h </w:instrText>
          </w:r>
          <w:r>
            <w:fldChar w:fldCharType="separate"/>
          </w:r>
          <w:r>
            <w:t>11</w:t>
          </w:r>
          <w:r>
            <w:fldChar w:fldCharType="end"/>
          </w:r>
          <w:r>
            <w:rPr>
              <w:rFonts w:hint="default" w:ascii="Times New Roman" w:hAnsi="Times New Roman" w:eastAsia="Times New Roman" w:cs="Times New Roman"/>
              <w:color w:val="auto"/>
              <w:szCs w:val="24"/>
            </w:rPr>
            <w:fldChar w:fldCharType="end"/>
          </w:r>
        </w:p>
        <w:p w14:paraId="27AB3CFD">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_Toc15810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3.3.1项目主要原辅材料种类及用量</w:t>
          </w:r>
          <w:r>
            <w:tab/>
          </w:r>
          <w:r>
            <w:fldChar w:fldCharType="begin"/>
          </w:r>
          <w:r>
            <w:instrText xml:space="preserve"> PAGEREF _Toc15810 \h </w:instrText>
          </w:r>
          <w:r>
            <w:fldChar w:fldCharType="separate"/>
          </w:r>
          <w:r>
            <w:t>11</w:t>
          </w:r>
          <w:r>
            <w:fldChar w:fldCharType="end"/>
          </w:r>
          <w:r>
            <w:rPr>
              <w:rFonts w:hint="default" w:ascii="Times New Roman" w:hAnsi="Times New Roman" w:eastAsia="Times New Roman" w:cs="Times New Roman"/>
              <w:color w:val="auto"/>
              <w:szCs w:val="24"/>
            </w:rPr>
            <w:fldChar w:fldCharType="end"/>
          </w:r>
        </w:p>
        <w:p w14:paraId="6F156BDD">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_Toc6793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3.4水源及水平衡</w:t>
          </w:r>
          <w:r>
            <w:tab/>
          </w:r>
          <w:r>
            <w:fldChar w:fldCharType="begin"/>
          </w:r>
          <w:r>
            <w:instrText xml:space="preserve"> PAGEREF _Toc6793 \h </w:instrText>
          </w:r>
          <w:r>
            <w:fldChar w:fldCharType="separate"/>
          </w:r>
          <w:r>
            <w:t>13</w:t>
          </w:r>
          <w:r>
            <w:fldChar w:fldCharType="end"/>
          </w:r>
          <w:r>
            <w:rPr>
              <w:rFonts w:hint="default" w:ascii="Times New Roman" w:hAnsi="Times New Roman" w:eastAsia="Times New Roman" w:cs="Times New Roman"/>
              <w:color w:val="auto"/>
              <w:szCs w:val="24"/>
            </w:rPr>
            <w:fldChar w:fldCharType="end"/>
          </w:r>
        </w:p>
        <w:p w14:paraId="37AC42AE">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_Toc19711 </w:instrText>
          </w:r>
          <w:r>
            <w:rPr>
              <w:rFonts w:hint="default" w:ascii="Times New Roman" w:hAnsi="Times New Roman" w:eastAsia="Times New Roman" w:cs="Times New Roman"/>
              <w:szCs w:val="24"/>
            </w:rPr>
            <w:fldChar w:fldCharType="separate"/>
          </w:r>
          <w:r>
            <w:rPr>
              <w:rFonts w:hint="default" w:ascii="Times New Roman" w:hAnsi="Times New Roman" w:cs="Times New Roman"/>
              <w:highlight w:val="none"/>
              <w:lang w:val="en-US" w:eastAsia="zh-CN"/>
            </w:rPr>
            <w:t>3.4.1</w:t>
          </w:r>
          <w:r>
            <w:rPr>
              <w:rFonts w:hint="default" w:ascii="Times New Roman" w:hAnsi="Times New Roman" w:cs="Times New Roman"/>
              <w:highlight w:val="none"/>
            </w:rPr>
            <w:t>给水</w:t>
          </w:r>
          <w:r>
            <w:tab/>
          </w:r>
          <w:r>
            <w:fldChar w:fldCharType="begin"/>
          </w:r>
          <w:r>
            <w:instrText xml:space="preserve"> PAGEREF _Toc19711 \h </w:instrText>
          </w:r>
          <w:r>
            <w:fldChar w:fldCharType="separate"/>
          </w:r>
          <w:r>
            <w:t>13</w:t>
          </w:r>
          <w:r>
            <w:fldChar w:fldCharType="end"/>
          </w:r>
          <w:r>
            <w:rPr>
              <w:rFonts w:hint="default" w:ascii="Times New Roman" w:hAnsi="Times New Roman" w:eastAsia="Times New Roman" w:cs="Times New Roman"/>
              <w:color w:val="auto"/>
              <w:szCs w:val="24"/>
            </w:rPr>
            <w:fldChar w:fldCharType="end"/>
          </w:r>
        </w:p>
        <w:p w14:paraId="7B5C0CB5">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_Toc24938 </w:instrText>
          </w:r>
          <w:r>
            <w:rPr>
              <w:rFonts w:hint="default" w:ascii="Times New Roman" w:hAnsi="Times New Roman" w:eastAsia="Times New Roman" w:cs="Times New Roman"/>
              <w:szCs w:val="24"/>
            </w:rPr>
            <w:fldChar w:fldCharType="separate"/>
          </w:r>
          <w:r>
            <w:rPr>
              <w:rFonts w:hint="default"/>
              <w:lang w:val="en-US" w:eastAsia="zh-CN"/>
            </w:rPr>
            <w:t>3.4.</w:t>
          </w:r>
          <w:r>
            <w:rPr>
              <w:rFonts w:hint="eastAsia"/>
              <w:lang w:val="en-US" w:eastAsia="zh-CN"/>
            </w:rPr>
            <w:t>2</w:t>
          </w:r>
          <w:r>
            <w:rPr>
              <w:rFonts w:hint="default"/>
            </w:rPr>
            <w:t>排水</w:t>
          </w:r>
          <w:r>
            <w:tab/>
          </w:r>
          <w:r>
            <w:fldChar w:fldCharType="begin"/>
          </w:r>
          <w:r>
            <w:instrText xml:space="preserve"> PAGEREF _Toc24938 \h </w:instrText>
          </w:r>
          <w:r>
            <w:fldChar w:fldCharType="separate"/>
          </w:r>
          <w:r>
            <w:t>13</w:t>
          </w:r>
          <w:r>
            <w:fldChar w:fldCharType="end"/>
          </w:r>
          <w:r>
            <w:rPr>
              <w:rFonts w:hint="default" w:ascii="Times New Roman" w:hAnsi="Times New Roman" w:eastAsia="Times New Roman" w:cs="Times New Roman"/>
              <w:color w:val="auto"/>
              <w:szCs w:val="24"/>
            </w:rPr>
            <w:fldChar w:fldCharType="end"/>
          </w:r>
        </w:p>
        <w:p w14:paraId="01847181">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_Toc20020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3.5生产工艺</w:t>
          </w:r>
          <w:r>
            <w:tab/>
          </w:r>
          <w:r>
            <w:fldChar w:fldCharType="begin"/>
          </w:r>
          <w:r>
            <w:instrText xml:space="preserve"> PAGEREF _Toc20020 \h </w:instrText>
          </w:r>
          <w:r>
            <w:fldChar w:fldCharType="separate"/>
          </w:r>
          <w:r>
            <w:t>16</w:t>
          </w:r>
          <w:r>
            <w:fldChar w:fldCharType="end"/>
          </w:r>
          <w:r>
            <w:rPr>
              <w:rFonts w:hint="default" w:ascii="Times New Roman" w:hAnsi="Times New Roman" w:eastAsia="Times New Roman" w:cs="Times New Roman"/>
              <w:color w:val="auto"/>
              <w:szCs w:val="24"/>
            </w:rPr>
            <w:fldChar w:fldCharType="end"/>
          </w:r>
        </w:p>
        <w:p w14:paraId="4C9FBAC2">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_Toc16744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3.5.1飞灰稳定化预处理工艺流程</w:t>
          </w:r>
          <w:r>
            <w:tab/>
          </w:r>
          <w:r>
            <w:fldChar w:fldCharType="begin"/>
          </w:r>
          <w:r>
            <w:instrText xml:space="preserve"> PAGEREF _Toc16744 \h </w:instrText>
          </w:r>
          <w:r>
            <w:fldChar w:fldCharType="separate"/>
          </w:r>
          <w:r>
            <w:t>16</w:t>
          </w:r>
          <w:r>
            <w:fldChar w:fldCharType="end"/>
          </w:r>
          <w:r>
            <w:rPr>
              <w:rFonts w:hint="default" w:ascii="Times New Roman" w:hAnsi="Times New Roman" w:eastAsia="Times New Roman" w:cs="Times New Roman"/>
              <w:color w:val="auto"/>
              <w:szCs w:val="24"/>
            </w:rPr>
            <w:fldChar w:fldCharType="end"/>
          </w:r>
        </w:p>
        <w:p w14:paraId="0B8E100D">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_Toc21512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3.5.2飞灰稳定化预处理环节产污分析</w:t>
          </w:r>
          <w:r>
            <w:tab/>
          </w:r>
          <w:r>
            <w:fldChar w:fldCharType="begin"/>
          </w:r>
          <w:r>
            <w:instrText xml:space="preserve"> PAGEREF _Toc21512 \h </w:instrText>
          </w:r>
          <w:r>
            <w:fldChar w:fldCharType="separate"/>
          </w:r>
          <w:r>
            <w:t>17</w:t>
          </w:r>
          <w:r>
            <w:fldChar w:fldCharType="end"/>
          </w:r>
          <w:r>
            <w:rPr>
              <w:rFonts w:hint="default" w:ascii="Times New Roman" w:hAnsi="Times New Roman" w:eastAsia="Times New Roman" w:cs="Times New Roman"/>
              <w:color w:val="auto"/>
              <w:szCs w:val="24"/>
            </w:rPr>
            <w:fldChar w:fldCharType="end"/>
          </w:r>
        </w:p>
        <w:p w14:paraId="6619FA4B">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_Toc19621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3.6</w:t>
          </w:r>
          <w:r>
            <w:rPr>
              <w:rFonts w:hint="default" w:ascii="Times New Roman" w:hAnsi="Times New Roman" w:cs="Times New Roman"/>
              <w:lang w:val="en-US" w:eastAsia="zh-CN"/>
            </w:rPr>
            <w:t>项目变动情况</w:t>
          </w:r>
          <w:r>
            <w:tab/>
          </w:r>
          <w:r>
            <w:fldChar w:fldCharType="begin"/>
          </w:r>
          <w:r>
            <w:instrText xml:space="preserve"> PAGEREF _Toc19621 \h </w:instrText>
          </w:r>
          <w:r>
            <w:fldChar w:fldCharType="separate"/>
          </w:r>
          <w:r>
            <w:t>17</w:t>
          </w:r>
          <w:r>
            <w:fldChar w:fldCharType="end"/>
          </w:r>
          <w:r>
            <w:rPr>
              <w:rFonts w:hint="default" w:ascii="Times New Roman" w:hAnsi="Times New Roman" w:eastAsia="Times New Roman" w:cs="Times New Roman"/>
              <w:color w:val="auto"/>
              <w:szCs w:val="24"/>
            </w:rPr>
            <w:fldChar w:fldCharType="end"/>
          </w:r>
        </w:p>
        <w:p w14:paraId="5BE5B3B3">
          <w:pPr>
            <w:pStyle w:val="11"/>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_Toc12740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4</w:t>
          </w:r>
          <w:r>
            <w:rPr>
              <w:rFonts w:hint="default" w:ascii="Times New Roman" w:hAnsi="Times New Roman" w:cs="Times New Roman"/>
              <w:lang w:val="en-US" w:eastAsia="zh-CN"/>
            </w:rPr>
            <w:t>环境保护设施</w:t>
          </w:r>
          <w:r>
            <w:tab/>
          </w:r>
          <w:r>
            <w:fldChar w:fldCharType="begin"/>
          </w:r>
          <w:r>
            <w:instrText xml:space="preserve"> PAGEREF _Toc12740 \h </w:instrText>
          </w:r>
          <w:r>
            <w:fldChar w:fldCharType="separate"/>
          </w:r>
          <w:r>
            <w:t>23</w:t>
          </w:r>
          <w:r>
            <w:fldChar w:fldCharType="end"/>
          </w:r>
          <w:r>
            <w:rPr>
              <w:rFonts w:hint="default" w:ascii="Times New Roman" w:hAnsi="Times New Roman" w:eastAsia="Times New Roman" w:cs="Times New Roman"/>
              <w:color w:val="auto"/>
              <w:szCs w:val="24"/>
            </w:rPr>
            <w:fldChar w:fldCharType="end"/>
          </w:r>
        </w:p>
        <w:p w14:paraId="64736D66">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_Toc13359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4.1污染物治理/处置设施</w:t>
          </w:r>
          <w:r>
            <w:tab/>
          </w:r>
          <w:r>
            <w:fldChar w:fldCharType="begin"/>
          </w:r>
          <w:r>
            <w:instrText xml:space="preserve"> PAGEREF _Toc13359 \h </w:instrText>
          </w:r>
          <w:r>
            <w:fldChar w:fldCharType="separate"/>
          </w:r>
          <w:r>
            <w:t>23</w:t>
          </w:r>
          <w:r>
            <w:fldChar w:fldCharType="end"/>
          </w:r>
          <w:r>
            <w:rPr>
              <w:rFonts w:hint="default" w:ascii="Times New Roman" w:hAnsi="Times New Roman" w:eastAsia="Times New Roman" w:cs="Times New Roman"/>
              <w:color w:val="auto"/>
              <w:szCs w:val="24"/>
            </w:rPr>
            <w:fldChar w:fldCharType="end"/>
          </w:r>
        </w:p>
        <w:p w14:paraId="77F0BE4C">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_Toc31621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4.1.1废水</w:t>
          </w:r>
          <w:r>
            <w:tab/>
          </w:r>
          <w:r>
            <w:fldChar w:fldCharType="begin"/>
          </w:r>
          <w:r>
            <w:instrText xml:space="preserve"> PAGEREF _Toc31621 \h </w:instrText>
          </w:r>
          <w:r>
            <w:fldChar w:fldCharType="separate"/>
          </w:r>
          <w:r>
            <w:t>23</w:t>
          </w:r>
          <w:r>
            <w:fldChar w:fldCharType="end"/>
          </w:r>
          <w:r>
            <w:rPr>
              <w:rFonts w:hint="default" w:ascii="Times New Roman" w:hAnsi="Times New Roman" w:eastAsia="Times New Roman" w:cs="Times New Roman"/>
              <w:color w:val="auto"/>
              <w:szCs w:val="24"/>
            </w:rPr>
            <w:fldChar w:fldCharType="end"/>
          </w:r>
        </w:p>
        <w:p w14:paraId="242B358C">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_Toc19951 </w:instrText>
          </w:r>
          <w:r>
            <w:rPr>
              <w:rFonts w:hint="default" w:ascii="Times New Roman" w:hAnsi="Times New Roman" w:eastAsia="Times New Roman" w:cs="Times New Roman"/>
              <w:szCs w:val="24"/>
            </w:rPr>
            <w:fldChar w:fldCharType="separate"/>
          </w:r>
          <w:r>
            <w:rPr>
              <w:rFonts w:hint="default"/>
            </w:rPr>
            <w:t>4.1.2废气</w:t>
          </w:r>
          <w:r>
            <w:tab/>
          </w:r>
          <w:r>
            <w:fldChar w:fldCharType="begin"/>
          </w:r>
          <w:r>
            <w:instrText xml:space="preserve"> PAGEREF _Toc19951 \h </w:instrText>
          </w:r>
          <w:r>
            <w:fldChar w:fldCharType="separate"/>
          </w:r>
          <w:r>
            <w:t>24</w:t>
          </w:r>
          <w:r>
            <w:fldChar w:fldCharType="end"/>
          </w:r>
          <w:r>
            <w:rPr>
              <w:rFonts w:hint="default" w:ascii="Times New Roman" w:hAnsi="Times New Roman" w:eastAsia="Times New Roman" w:cs="Times New Roman"/>
              <w:color w:val="auto"/>
              <w:szCs w:val="24"/>
            </w:rPr>
            <w:fldChar w:fldCharType="end"/>
          </w:r>
        </w:p>
        <w:p w14:paraId="45F73EB9">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_Toc24803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4.1.3噪声治理措施</w:t>
          </w:r>
          <w:r>
            <w:tab/>
          </w:r>
          <w:r>
            <w:fldChar w:fldCharType="begin"/>
          </w:r>
          <w:r>
            <w:instrText xml:space="preserve"> PAGEREF _Toc24803 \h </w:instrText>
          </w:r>
          <w:r>
            <w:fldChar w:fldCharType="separate"/>
          </w:r>
          <w:r>
            <w:t>26</w:t>
          </w:r>
          <w:r>
            <w:fldChar w:fldCharType="end"/>
          </w:r>
          <w:r>
            <w:rPr>
              <w:rFonts w:hint="default" w:ascii="Times New Roman" w:hAnsi="Times New Roman" w:eastAsia="Times New Roman" w:cs="Times New Roman"/>
              <w:color w:val="auto"/>
              <w:szCs w:val="24"/>
            </w:rPr>
            <w:fldChar w:fldCharType="end"/>
          </w:r>
        </w:p>
        <w:p w14:paraId="26C8925F">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_Toc16160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4.1.4固废治理措施</w:t>
          </w:r>
          <w:r>
            <w:tab/>
          </w:r>
          <w:r>
            <w:fldChar w:fldCharType="begin"/>
          </w:r>
          <w:r>
            <w:instrText xml:space="preserve"> PAGEREF _Toc16160 \h </w:instrText>
          </w:r>
          <w:r>
            <w:fldChar w:fldCharType="separate"/>
          </w:r>
          <w:r>
            <w:t>27</w:t>
          </w:r>
          <w:r>
            <w:fldChar w:fldCharType="end"/>
          </w:r>
          <w:r>
            <w:rPr>
              <w:rFonts w:hint="default" w:ascii="Times New Roman" w:hAnsi="Times New Roman" w:eastAsia="Times New Roman" w:cs="Times New Roman"/>
              <w:color w:val="auto"/>
              <w:szCs w:val="24"/>
            </w:rPr>
            <w:fldChar w:fldCharType="end"/>
          </w:r>
        </w:p>
        <w:p w14:paraId="22B3F495">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_Toc32265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4.2其他环境保护措施</w:t>
          </w:r>
          <w:r>
            <w:tab/>
          </w:r>
          <w:r>
            <w:fldChar w:fldCharType="begin"/>
          </w:r>
          <w:r>
            <w:instrText xml:space="preserve"> PAGEREF _Toc32265 \h </w:instrText>
          </w:r>
          <w:r>
            <w:fldChar w:fldCharType="separate"/>
          </w:r>
          <w:r>
            <w:t>29</w:t>
          </w:r>
          <w:r>
            <w:fldChar w:fldCharType="end"/>
          </w:r>
          <w:r>
            <w:rPr>
              <w:rFonts w:hint="default" w:ascii="Times New Roman" w:hAnsi="Times New Roman" w:eastAsia="Times New Roman" w:cs="Times New Roman"/>
              <w:color w:val="auto"/>
              <w:szCs w:val="24"/>
            </w:rPr>
            <w:fldChar w:fldCharType="end"/>
          </w:r>
        </w:p>
        <w:p w14:paraId="4B79FB35">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_Toc6050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4.2.1环境风险防范措施</w:t>
          </w:r>
          <w:r>
            <w:tab/>
          </w:r>
          <w:r>
            <w:fldChar w:fldCharType="begin"/>
          </w:r>
          <w:r>
            <w:instrText xml:space="preserve"> PAGEREF _Toc6050 \h </w:instrText>
          </w:r>
          <w:r>
            <w:fldChar w:fldCharType="separate"/>
          </w:r>
          <w:r>
            <w:t>29</w:t>
          </w:r>
          <w:r>
            <w:fldChar w:fldCharType="end"/>
          </w:r>
          <w:r>
            <w:rPr>
              <w:rFonts w:hint="default" w:ascii="Times New Roman" w:hAnsi="Times New Roman" w:eastAsia="Times New Roman" w:cs="Times New Roman"/>
              <w:color w:val="auto"/>
              <w:szCs w:val="24"/>
            </w:rPr>
            <w:fldChar w:fldCharType="end"/>
          </w:r>
        </w:p>
        <w:p w14:paraId="7DE6F769">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_Toc24140 </w:instrText>
          </w:r>
          <w:r>
            <w:rPr>
              <w:rFonts w:hint="default" w:ascii="Times New Roman" w:hAnsi="Times New Roman" w:eastAsia="Times New Roman" w:cs="Times New Roman"/>
              <w:szCs w:val="24"/>
            </w:rPr>
            <w:fldChar w:fldCharType="separate"/>
          </w:r>
          <w:r>
            <w:rPr>
              <w:rFonts w:hint="default"/>
              <w:lang w:val="en-US" w:eastAsia="zh-CN"/>
            </w:rPr>
            <w:t>4.2.2地下水污染防治措施</w:t>
          </w:r>
          <w:r>
            <w:tab/>
          </w:r>
          <w:r>
            <w:fldChar w:fldCharType="begin"/>
          </w:r>
          <w:r>
            <w:instrText xml:space="preserve"> PAGEREF _Toc24140 \h </w:instrText>
          </w:r>
          <w:r>
            <w:fldChar w:fldCharType="separate"/>
          </w:r>
          <w:r>
            <w:t>31</w:t>
          </w:r>
          <w:r>
            <w:fldChar w:fldCharType="end"/>
          </w:r>
          <w:r>
            <w:rPr>
              <w:rFonts w:hint="default" w:ascii="Times New Roman" w:hAnsi="Times New Roman" w:eastAsia="Times New Roman" w:cs="Times New Roman"/>
              <w:color w:val="auto"/>
              <w:szCs w:val="24"/>
            </w:rPr>
            <w:fldChar w:fldCharType="end"/>
          </w:r>
        </w:p>
        <w:p w14:paraId="2DF09B54">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_Toc19608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4.3环保设施投资及</w:t>
          </w:r>
          <w:r>
            <w:rPr>
              <w:rFonts w:hint="eastAsia" w:ascii="Times New Roman" w:hAnsi="Times New Roman" w:cs="Times New Roman"/>
              <w:lang w:eastAsia="zh-CN"/>
            </w:rPr>
            <w:t>“</w:t>
          </w:r>
          <w:r>
            <w:rPr>
              <w:rFonts w:hint="default" w:ascii="Times New Roman" w:hAnsi="Times New Roman" w:cs="Times New Roman"/>
            </w:rPr>
            <w:t>三同时</w:t>
          </w:r>
          <w:r>
            <w:rPr>
              <w:rFonts w:hint="eastAsia" w:ascii="Times New Roman" w:hAnsi="Times New Roman" w:cs="Times New Roman"/>
              <w:lang w:eastAsia="zh-CN"/>
            </w:rPr>
            <w:t>”</w:t>
          </w:r>
          <w:r>
            <w:rPr>
              <w:rFonts w:hint="default" w:ascii="Times New Roman" w:hAnsi="Times New Roman" w:cs="Times New Roman"/>
            </w:rPr>
            <w:t>落实情况</w:t>
          </w:r>
          <w:r>
            <w:tab/>
          </w:r>
          <w:r>
            <w:fldChar w:fldCharType="begin"/>
          </w:r>
          <w:r>
            <w:instrText xml:space="preserve"> PAGEREF _Toc19608 \h </w:instrText>
          </w:r>
          <w:r>
            <w:fldChar w:fldCharType="separate"/>
          </w:r>
          <w:r>
            <w:t>32</w:t>
          </w:r>
          <w:r>
            <w:fldChar w:fldCharType="end"/>
          </w:r>
          <w:r>
            <w:rPr>
              <w:rFonts w:hint="default" w:ascii="Times New Roman" w:hAnsi="Times New Roman" w:eastAsia="Times New Roman" w:cs="Times New Roman"/>
              <w:color w:val="auto"/>
              <w:szCs w:val="24"/>
            </w:rPr>
            <w:fldChar w:fldCharType="end"/>
          </w:r>
        </w:p>
        <w:p w14:paraId="05F4CB33">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_Toc1225 </w:instrText>
          </w:r>
          <w:r>
            <w:rPr>
              <w:rFonts w:hint="default" w:ascii="Times New Roman" w:hAnsi="Times New Roman" w:eastAsia="Times New Roman" w:cs="Times New Roman"/>
              <w:szCs w:val="24"/>
            </w:rPr>
            <w:fldChar w:fldCharType="separate"/>
          </w:r>
          <w:r>
            <w:rPr>
              <w:rFonts w:hint="default"/>
              <w:lang w:val="en-US" w:eastAsia="zh-CN"/>
            </w:rPr>
            <w:t>4.3.1环保设施投资情况</w:t>
          </w:r>
          <w:r>
            <w:tab/>
          </w:r>
          <w:r>
            <w:fldChar w:fldCharType="begin"/>
          </w:r>
          <w:r>
            <w:instrText xml:space="preserve"> PAGEREF _Toc1225 \h </w:instrText>
          </w:r>
          <w:r>
            <w:fldChar w:fldCharType="separate"/>
          </w:r>
          <w:r>
            <w:t>32</w:t>
          </w:r>
          <w:r>
            <w:fldChar w:fldCharType="end"/>
          </w:r>
          <w:r>
            <w:rPr>
              <w:rFonts w:hint="default" w:ascii="Times New Roman" w:hAnsi="Times New Roman" w:eastAsia="Times New Roman" w:cs="Times New Roman"/>
              <w:color w:val="auto"/>
              <w:szCs w:val="24"/>
            </w:rPr>
            <w:fldChar w:fldCharType="end"/>
          </w:r>
        </w:p>
        <w:p w14:paraId="11BAAD41">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_Toc13613 </w:instrText>
          </w:r>
          <w:r>
            <w:rPr>
              <w:rFonts w:hint="default" w:ascii="Times New Roman" w:hAnsi="Times New Roman" w:eastAsia="Times New Roman" w:cs="Times New Roman"/>
              <w:szCs w:val="24"/>
            </w:rPr>
            <w:fldChar w:fldCharType="separate"/>
          </w:r>
          <w:r>
            <w:rPr>
              <w:rFonts w:hint="default"/>
              <w:lang w:val="en-US" w:eastAsia="zh-CN"/>
            </w:rPr>
            <w:t>4.3.2</w:t>
          </w:r>
          <w:r>
            <w:rPr>
              <w:rFonts w:hint="eastAsia"/>
              <w:lang w:val="en-US" w:eastAsia="zh-CN"/>
            </w:rPr>
            <w:t>“</w:t>
          </w:r>
          <w:r>
            <w:rPr>
              <w:rFonts w:hint="default"/>
              <w:lang w:val="en-US" w:eastAsia="zh-CN"/>
            </w:rPr>
            <w:t>三同时</w:t>
          </w:r>
          <w:r>
            <w:rPr>
              <w:rFonts w:hint="eastAsia"/>
              <w:lang w:val="en-US" w:eastAsia="zh-CN"/>
            </w:rPr>
            <w:t>”</w:t>
          </w:r>
          <w:r>
            <w:rPr>
              <w:rFonts w:hint="default"/>
              <w:lang w:val="en-US" w:eastAsia="zh-CN"/>
            </w:rPr>
            <w:t>落实情况</w:t>
          </w:r>
          <w:r>
            <w:tab/>
          </w:r>
          <w:r>
            <w:fldChar w:fldCharType="begin"/>
          </w:r>
          <w:r>
            <w:instrText xml:space="preserve"> PAGEREF _Toc13613 \h </w:instrText>
          </w:r>
          <w:r>
            <w:fldChar w:fldCharType="separate"/>
          </w:r>
          <w:r>
            <w:t>32</w:t>
          </w:r>
          <w:r>
            <w:fldChar w:fldCharType="end"/>
          </w:r>
          <w:r>
            <w:rPr>
              <w:rFonts w:hint="default" w:ascii="Times New Roman" w:hAnsi="Times New Roman" w:eastAsia="Times New Roman" w:cs="Times New Roman"/>
              <w:color w:val="auto"/>
              <w:szCs w:val="24"/>
            </w:rPr>
            <w:fldChar w:fldCharType="end"/>
          </w:r>
        </w:p>
        <w:p w14:paraId="01EF77D9">
          <w:pPr>
            <w:pStyle w:val="11"/>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_Toc12938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5环境影响报告书（表）主要结论与建议及其审批部门审批决定</w:t>
          </w:r>
          <w:r>
            <w:tab/>
          </w:r>
          <w:r>
            <w:fldChar w:fldCharType="begin"/>
          </w:r>
          <w:r>
            <w:instrText xml:space="preserve"> PAGEREF _Toc12938 \h </w:instrText>
          </w:r>
          <w:r>
            <w:fldChar w:fldCharType="separate"/>
          </w:r>
          <w:r>
            <w:t>39</w:t>
          </w:r>
          <w:r>
            <w:fldChar w:fldCharType="end"/>
          </w:r>
          <w:r>
            <w:rPr>
              <w:rFonts w:hint="default" w:ascii="Times New Roman" w:hAnsi="Times New Roman" w:eastAsia="Times New Roman" w:cs="Times New Roman"/>
              <w:color w:val="auto"/>
              <w:szCs w:val="24"/>
            </w:rPr>
            <w:fldChar w:fldCharType="end"/>
          </w:r>
        </w:p>
        <w:p w14:paraId="6FB85D6B">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_Toc646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5.1环境影响报告书（表）主要结论与建议</w:t>
          </w:r>
          <w:r>
            <w:tab/>
          </w:r>
          <w:r>
            <w:fldChar w:fldCharType="begin"/>
          </w:r>
          <w:r>
            <w:instrText xml:space="preserve"> PAGEREF _Toc646 \h </w:instrText>
          </w:r>
          <w:r>
            <w:fldChar w:fldCharType="separate"/>
          </w:r>
          <w:r>
            <w:t>39</w:t>
          </w:r>
          <w:r>
            <w:fldChar w:fldCharType="end"/>
          </w:r>
          <w:r>
            <w:rPr>
              <w:rFonts w:hint="default" w:ascii="Times New Roman" w:hAnsi="Times New Roman" w:eastAsia="Times New Roman" w:cs="Times New Roman"/>
              <w:color w:val="auto"/>
              <w:szCs w:val="24"/>
            </w:rPr>
            <w:fldChar w:fldCharType="end"/>
          </w:r>
        </w:p>
        <w:p w14:paraId="6E60666D">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_Toc8006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5.1.1环境影响评价结论</w:t>
          </w:r>
          <w:r>
            <w:tab/>
          </w:r>
          <w:r>
            <w:fldChar w:fldCharType="begin"/>
          </w:r>
          <w:r>
            <w:instrText xml:space="preserve"> PAGEREF _Toc8006 \h </w:instrText>
          </w:r>
          <w:r>
            <w:fldChar w:fldCharType="separate"/>
          </w:r>
          <w:r>
            <w:t>39</w:t>
          </w:r>
          <w:r>
            <w:fldChar w:fldCharType="end"/>
          </w:r>
          <w:r>
            <w:rPr>
              <w:rFonts w:hint="default" w:ascii="Times New Roman" w:hAnsi="Times New Roman" w:eastAsia="Times New Roman" w:cs="Times New Roman"/>
              <w:color w:val="auto"/>
              <w:szCs w:val="24"/>
            </w:rPr>
            <w:fldChar w:fldCharType="end"/>
          </w:r>
        </w:p>
        <w:p w14:paraId="66741113">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_Toc13343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5.1.2建议</w:t>
          </w:r>
          <w:r>
            <w:tab/>
          </w:r>
          <w:r>
            <w:fldChar w:fldCharType="begin"/>
          </w:r>
          <w:r>
            <w:instrText xml:space="preserve"> PAGEREF _Toc13343 \h </w:instrText>
          </w:r>
          <w:r>
            <w:fldChar w:fldCharType="separate"/>
          </w:r>
          <w:r>
            <w:t>39</w:t>
          </w:r>
          <w:r>
            <w:fldChar w:fldCharType="end"/>
          </w:r>
          <w:r>
            <w:rPr>
              <w:rFonts w:hint="default" w:ascii="Times New Roman" w:hAnsi="Times New Roman" w:eastAsia="Times New Roman" w:cs="Times New Roman"/>
              <w:color w:val="auto"/>
              <w:szCs w:val="24"/>
            </w:rPr>
            <w:fldChar w:fldCharType="end"/>
          </w:r>
        </w:p>
        <w:p w14:paraId="2D6D408F">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_Toc16571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5.2审批部门审批决定</w:t>
          </w:r>
          <w:r>
            <w:tab/>
          </w:r>
          <w:r>
            <w:fldChar w:fldCharType="begin"/>
          </w:r>
          <w:r>
            <w:instrText xml:space="preserve"> PAGEREF _Toc16571 \h </w:instrText>
          </w:r>
          <w:r>
            <w:fldChar w:fldCharType="separate"/>
          </w:r>
          <w:r>
            <w:t>40</w:t>
          </w:r>
          <w:r>
            <w:fldChar w:fldCharType="end"/>
          </w:r>
          <w:r>
            <w:rPr>
              <w:rFonts w:hint="default" w:ascii="Times New Roman" w:hAnsi="Times New Roman" w:eastAsia="Times New Roman" w:cs="Times New Roman"/>
              <w:color w:val="auto"/>
              <w:szCs w:val="24"/>
            </w:rPr>
            <w:fldChar w:fldCharType="end"/>
          </w:r>
        </w:p>
        <w:p w14:paraId="342020C9">
          <w:pPr>
            <w:pStyle w:val="11"/>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_Toc21537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6验收执行标准</w:t>
          </w:r>
          <w:r>
            <w:tab/>
          </w:r>
          <w:r>
            <w:fldChar w:fldCharType="begin"/>
          </w:r>
          <w:r>
            <w:instrText xml:space="preserve"> PAGEREF _Toc21537 \h </w:instrText>
          </w:r>
          <w:r>
            <w:fldChar w:fldCharType="separate"/>
          </w:r>
          <w:r>
            <w:t>44</w:t>
          </w:r>
          <w:r>
            <w:fldChar w:fldCharType="end"/>
          </w:r>
          <w:r>
            <w:rPr>
              <w:rFonts w:hint="default" w:ascii="Times New Roman" w:hAnsi="Times New Roman" w:eastAsia="Times New Roman" w:cs="Times New Roman"/>
              <w:color w:val="auto"/>
              <w:szCs w:val="24"/>
            </w:rPr>
            <w:fldChar w:fldCharType="end"/>
          </w:r>
        </w:p>
        <w:p w14:paraId="7F61EF86">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_Toc24108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6.</w:t>
          </w:r>
          <w:r>
            <w:rPr>
              <w:rFonts w:hint="default" w:ascii="Times New Roman" w:hAnsi="Times New Roman" w:cs="Times New Roman"/>
              <w:lang w:val="en-US" w:eastAsia="zh-CN"/>
            </w:rPr>
            <w:t>1</w:t>
          </w:r>
          <w:r>
            <w:rPr>
              <w:rFonts w:hint="default" w:ascii="Times New Roman" w:hAnsi="Times New Roman" w:cs="Times New Roman"/>
            </w:rPr>
            <w:t>废水</w:t>
          </w:r>
          <w:r>
            <w:tab/>
          </w:r>
          <w:r>
            <w:fldChar w:fldCharType="begin"/>
          </w:r>
          <w:r>
            <w:instrText xml:space="preserve"> PAGEREF _Toc24108 \h </w:instrText>
          </w:r>
          <w:r>
            <w:fldChar w:fldCharType="separate"/>
          </w:r>
          <w:r>
            <w:t>44</w:t>
          </w:r>
          <w:r>
            <w:fldChar w:fldCharType="end"/>
          </w:r>
          <w:r>
            <w:rPr>
              <w:rFonts w:hint="default" w:ascii="Times New Roman" w:hAnsi="Times New Roman" w:eastAsia="Times New Roman" w:cs="Times New Roman"/>
              <w:color w:val="auto"/>
              <w:szCs w:val="24"/>
            </w:rPr>
            <w:fldChar w:fldCharType="end"/>
          </w:r>
        </w:p>
        <w:p w14:paraId="0E91E055">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_Toc25473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6.</w:t>
          </w:r>
          <w:r>
            <w:rPr>
              <w:rFonts w:hint="default" w:ascii="Times New Roman" w:hAnsi="Times New Roman" w:cs="Times New Roman"/>
              <w:lang w:val="en-US" w:eastAsia="zh-CN"/>
            </w:rPr>
            <w:t>2</w:t>
          </w:r>
          <w:r>
            <w:rPr>
              <w:rFonts w:hint="default" w:ascii="Times New Roman" w:hAnsi="Times New Roman" w:cs="Times New Roman"/>
            </w:rPr>
            <w:t>废气</w:t>
          </w:r>
          <w:r>
            <w:tab/>
          </w:r>
          <w:r>
            <w:fldChar w:fldCharType="begin"/>
          </w:r>
          <w:r>
            <w:instrText xml:space="preserve"> PAGEREF _Toc25473 \h </w:instrText>
          </w:r>
          <w:r>
            <w:fldChar w:fldCharType="separate"/>
          </w:r>
          <w:r>
            <w:t>44</w:t>
          </w:r>
          <w:r>
            <w:fldChar w:fldCharType="end"/>
          </w:r>
          <w:r>
            <w:rPr>
              <w:rFonts w:hint="default" w:ascii="Times New Roman" w:hAnsi="Times New Roman" w:eastAsia="Times New Roman" w:cs="Times New Roman"/>
              <w:color w:val="auto"/>
              <w:szCs w:val="24"/>
            </w:rPr>
            <w:fldChar w:fldCharType="end"/>
          </w:r>
        </w:p>
        <w:p w14:paraId="52208472">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_Toc22675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6.3噪声</w:t>
          </w:r>
          <w:r>
            <w:tab/>
          </w:r>
          <w:r>
            <w:fldChar w:fldCharType="begin"/>
          </w:r>
          <w:r>
            <w:instrText xml:space="preserve"> PAGEREF _Toc22675 \h </w:instrText>
          </w:r>
          <w:r>
            <w:fldChar w:fldCharType="separate"/>
          </w:r>
          <w:r>
            <w:t>44</w:t>
          </w:r>
          <w:r>
            <w:fldChar w:fldCharType="end"/>
          </w:r>
          <w:r>
            <w:rPr>
              <w:rFonts w:hint="default" w:ascii="Times New Roman" w:hAnsi="Times New Roman" w:eastAsia="Times New Roman" w:cs="Times New Roman"/>
              <w:color w:val="auto"/>
              <w:szCs w:val="24"/>
            </w:rPr>
            <w:fldChar w:fldCharType="end"/>
          </w:r>
        </w:p>
        <w:p w14:paraId="5AB69B7F">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_Toc23515 </w:instrText>
          </w:r>
          <w:r>
            <w:rPr>
              <w:rFonts w:hint="default" w:ascii="Times New Roman" w:hAnsi="Times New Roman" w:eastAsia="Times New Roman" w:cs="Times New Roman"/>
              <w:szCs w:val="24"/>
            </w:rPr>
            <w:fldChar w:fldCharType="separate"/>
          </w:r>
          <w:r>
            <w:rPr>
              <w:rFonts w:hint="default" w:ascii="Times New Roman" w:hAnsi="Times New Roman" w:cs="Times New Roman"/>
              <w:lang w:val="en-US" w:eastAsia="zh-CN"/>
            </w:rPr>
            <w:t>6.4固体废物</w:t>
          </w:r>
          <w:r>
            <w:tab/>
          </w:r>
          <w:r>
            <w:fldChar w:fldCharType="begin"/>
          </w:r>
          <w:r>
            <w:instrText xml:space="preserve"> PAGEREF _Toc23515 \h </w:instrText>
          </w:r>
          <w:r>
            <w:fldChar w:fldCharType="separate"/>
          </w:r>
          <w:r>
            <w:t>45</w:t>
          </w:r>
          <w:r>
            <w:fldChar w:fldCharType="end"/>
          </w:r>
          <w:r>
            <w:rPr>
              <w:rFonts w:hint="default" w:ascii="Times New Roman" w:hAnsi="Times New Roman" w:eastAsia="Times New Roman" w:cs="Times New Roman"/>
              <w:color w:val="auto"/>
              <w:szCs w:val="24"/>
            </w:rPr>
            <w:fldChar w:fldCharType="end"/>
          </w:r>
        </w:p>
        <w:p w14:paraId="0F9930DD">
          <w:pPr>
            <w:pStyle w:val="11"/>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_Toc5498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7验收监测内容</w:t>
          </w:r>
          <w:r>
            <w:tab/>
          </w:r>
          <w:r>
            <w:fldChar w:fldCharType="begin"/>
          </w:r>
          <w:r>
            <w:instrText xml:space="preserve"> PAGEREF _Toc5498 \h </w:instrText>
          </w:r>
          <w:r>
            <w:fldChar w:fldCharType="separate"/>
          </w:r>
          <w:r>
            <w:t>47</w:t>
          </w:r>
          <w:r>
            <w:fldChar w:fldCharType="end"/>
          </w:r>
          <w:r>
            <w:rPr>
              <w:rFonts w:hint="default" w:ascii="Times New Roman" w:hAnsi="Times New Roman" w:eastAsia="Times New Roman" w:cs="Times New Roman"/>
              <w:color w:val="auto"/>
              <w:szCs w:val="24"/>
            </w:rPr>
            <w:fldChar w:fldCharType="end"/>
          </w:r>
        </w:p>
        <w:p w14:paraId="50637339">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_Toc7529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7.1环境保护设施调试运行效果</w:t>
          </w:r>
          <w:r>
            <w:tab/>
          </w:r>
          <w:r>
            <w:fldChar w:fldCharType="begin"/>
          </w:r>
          <w:r>
            <w:instrText xml:space="preserve"> PAGEREF _Toc7529 \h </w:instrText>
          </w:r>
          <w:r>
            <w:fldChar w:fldCharType="separate"/>
          </w:r>
          <w:r>
            <w:t>47</w:t>
          </w:r>
          <w:r>
            <w:fldChar w:fldCharType="end"/>
          </w:r>
          <w:r>
            <w:rPr>
              <w:rFonts w:hint="default" w:ascii="Times New Roman" w:hAnsi="Times New Roman" w:eastAsia="Times New Roman" w:cs="Times New Roman"/>
              <w:color w:val="auto"/>
              <w:szCs w:val="24"/>
            </w:rPr>
            <w:fldChar w:fldCharType="end"/>
          </w:r>
        </w:p>
        <w:p w14:paraId="37AAD72B">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_Toc10660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7.1.1</w:t>
          </w:r>
          <w:r>
            <w:rPr>
              <w:rFonts w:hint="default" w:ascii="Times New Roman" w:hAnsi="Times New Roman" w:cs="Times New Roman"/>
              <w:lang w:val="en-US" w:eastAsia="zh-CN"/>
            </w:rPr>
            <w:t>废气</w:t>
          </w:r>
          <w:r>
            <w:tab/>
          </w:r>
          <w:r>
            <w:fldChar w:fldCharType="begin"/>
          </w:r>
          <w:r>
            <w:instrText xml:space="preserve"> PAGEREF _Toc10660 \h </w:instrText>
          </w:r>
          <w:r>
            <w:fldChar w:fldCharType="separate"/>
          </w:r>
          <w:r>
            <w:t>47</w:t>
          </w:r>
          <w:r>
            <w:fldChar w:fldCharType="end"/>
          </w:r>
          <w:r>
            <w:rPr>
              <w:rFonts w:hint="default" w:ascii="Times New Roman" w:hAnsi="Times New Roman" w:eastAsia="Times New Roman" w:cs="Times New Roman"/>
              <w:color w:val="auto"/>
              <w:szCs w:val="24"/>
            </w:rPr>
            <w:fldChar w:fldCharType="end"/>
          </w:r>
        </w:p>
        <w:p w14:paraId="07618F4B">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_Toc4496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7.1.2厂界噪声监测</w:t>
          </w:r>
          <w:r>
            <w:tab/>
          </w:r>
          <w:r>
            <w:fldChar w:fldCharType="begin"/>
          </w:r>
          <w:r>
            <w:instrText xml:space="preserve"> PAGEREF _Toc4496 \h </w:instrText>
          </w:r>
          <w:r>
            <w:fldChar w:fldCharType="separate"/>
          </w:r>
          <w:r>
            <w:t>47</w:t>
          </w:r>
          <w:r>
            <w:fldChar w:fldCharType="end"/>
          </w:r>
          <w:r>
            <w:rPr>
              <w:rFonts w:hint="default" w:ascii="Times New Roman" w:hAnsi="Times New Roman" w:eastAsia="Times New Roman" w:cs="Times New Roman"/>
              <w:color w:val="auto"/>
              <w:szCs w:val="24"/>
            </w:rPr>
            <w:fldChar w:fldCharType="end"/>
          </w:r>
        </w:p>
        <w:p w14:paraId="70716EE7">
          <w:pPr>
            <w:pStyle w:val="11"/>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_Toc2532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8质量保证和质量控制</w:t>
          </w:r>
          <w:r>
            <w:tab/>
          </w:r>
          <w:r>
            <w:fldChar w:fldCharType="begin"/>
          </w:r>
          <w:r>
            <w:instrText xml:space="preserve"> PAGEREF _Toc2532 \h </w:instrText>
          </w:r>
          <w:r>
            <w:fldChar w:fldCharType="separate"/>
          </w:r>
          <w:r>
            <w:t>49</w:t>
          </w:r>
          <w:r>
            <w:fldChar w:fldCharType="end"/>
          </w:r>
          <w:r>
            <w:rPr>
              <w:rFonts w:hint="default" w:ascii="Times New Roman" w:hAnsi="Times New Roman" w:eastAsia="Times New Roman" w:cs="Times New Roman"/>
              <w:color w:val="auto"/>
              <w:szCs w:val="24"/>
            </w:rPr>
            <w:fldChar w:fldCharType="end"/>
          </w:r>
        </w:p>
        <w:p w14:paraId="7E49CF3D">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_Toc20172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8.1监测分析方法</w:t>
          </w:r>
          <w:r>
            <w:tab/>
          </w:r>
          <w:r>
            <w:fldChar w:fldCharType="begin"/>
          </w:r>
          <w:r>
            <w:instrText xml:space="preserve"> PAGEREF _Toc20172 \h </w:instrText>
          </w:r>
          <w:r>
            <w:fldChar w:fldCharType="separate"/>
          </w:r>
          <w:r>
            <w:t>49</w:t>
          </w:r>
          <w:r>
            <w:fldChar w:fldCharType="end"/>
          </w:r>
          <w:r>
            <w:rPr>
              <w:rFonts w:hint="default" w:ascii="Times New Roman" w:hAnsi="Times New Roman" w:eastAsia="Times New Roman" w:cs="Times New Roman"/>
              <w:color w:val="auto"/>
              <w:szCs w:val="24"/>
            </w:rPr>
            <w:fldChar w:fldCharType="end"/>
          </w:r>
        </w:p>
        <w:p w14:paraId="15350DD1">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_Toc31708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8.2监测仪器</w:t>
          </w:r>
          <w:r>
            <w:tab/>
          </w:r>
          <w:r>
            <w:fldChar w:fldCharType="begin"/>
          </w:r>
          <w:r>
            <w:instrText xml:space="preserve"> PAGEREF _Toc31708 \h </w:instrText>
          </w:r>
          <w:r>
            <w:fldChar w:fldCharType="separate"/>
          </w:r>
          <w:r>
            <w:t>49</w:t>
          </w:r>
          <w:r>
            <w:fldChar w:fldCharType="end"/>
          </w:r>
          <w:r>
            <w:rPr>
              <w:rFonts w:hint="default" w:ascii="Times New Roman" w:hAnsi="Times New Roman" w:eastAsia="Times New Roman" w:cs="Times New Roman"/>
              <w:color w:val="auto"/>
              <w:szCs w:val="24"/>
            </w:rPr>
            <w:fldChar w:fldCharType="end"/>
          </w:r>
        </w:p>
        <w:p w14:paraId="434F7B1F">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_Toc12548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8.3人员能力</w:t>
          </w:r>
          <w:r>
            <w:tab/>
          </w:r>
          <w:r>
            <w:fldChar w:fldCharType="begin"/>
          </w:r>
          <w:r>
            <w:instrText xml:space="preserve"> PAGEREF _Toc12548 \h </w:instrText>
          </w:r>
          <w:r>
            <w:fldChar w:fldCharType="separate"/>
          </w:r>
          <w:r>
            <w:t>50</w:t>
          </w:r>
          <w:r>
            <w:fldChar w:fldCharType="end"/>
          </w:r>
          <w:r>
            <w:rPr>
              <w:rFonts w:hint="default" w:ascii="Times New Roman" w:hAnsi="Times New Roman" w:eastAsia="Times New Roman" w:cs="Times New Roman"/>
              <w:color w:val="auto"/>
              <w:szCs w:val="24"/>
            </w:rPr>
            <w:fldChar w:fldCharType="end"/>
          </w:r>
        </w:p>
        <w:p w14:paraId="28084321">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_Toc3446 </w:instrText>
          </w:r>
          <w:r>
            <w:rPr>
              <w:rFonts w:hint="default" w:ascii="Times New Roman" w:hAnsi="Times New Roman" w:eastAsia="Times New Roman" w:cs="Times New Roman"/>
              <w:szCs w:val="24"/>
            </w:rPr>
            <w:fldChar w:fldCharType="separate"/>
          </w:r>
          <w:r>
            <w:rPr>
              <w:rFonts w:hint="default"/>
            </w:rPr>
            <w:t>8.4监测分析过程中的质量保证和质量控制</w:t>
          </w:r>
          <w:r>
            <w:tab/>
          </w:r>
          <w:r>
            <w:fldChar w:fldCharType="begin"/>
          </w:r>
          <w:r>
            <w:instrText xml:space="preserve"> PAGEREF _Toc3446 \h </w:instrText>
          </w:r>
          <w:r>
            <w:fldChar w:fldCharType="separate"/>
          </w:r>
          <w:r>
            <w:t>50</w:t>
          </w:r>
          <w:r>
            <w:fldChar w:fldCharType="end"/>
          </w:r>
          <w:r>
            <w:rPr>
              <w:rFonts w:hint="default" w:ascii="Times New Roman" w:hAnsi="Times New Roman" w:eastAsia="Times New Roman" w:cs="Times New Roman"/>
              <w:color w:val="auto"/>
              <w:szCs w:val="24"/>
            </w:rPr>
            <w:fldChar w:fldCharType="end"/>
          </w:r>
        </w:p>
        <w:p w14:paraId="218F2BBD">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_Toc12692 </w:instrText>
          </w:r>
          <w:r>
            <w:rPr>
              <w:rFonts w:hint="default" w:ascii="Times New Roman" w:hAnsi="Times New Roman" w:eastAsia="Times New Roman" w:cs="Times New Roman"/>
              <w:szCs w:val="24"/>
            </w:rPr>
            <w:fldChar w:fldCharType="separate"/>
          </w:r>
          <w:r>
            <w:rPr>
              <w:rFonts w:hint="default"/>
            </w:rPr>
            <w:t>8.4.1气体监测分析过程中的质量保证和质量控制</w:t>
          </w:r>
          <w:r>
            <w:tab/>
          </w:r>
          <w:r>
            <w:fldChar w:fldCharType="begin"/>
          </w:r>
          <w:r>
            <w:instrText xml:space="preserve"> PAGEREF _Toc12692 \h </w:instrText>
          </w:r>
          <w:r>
            <w:fldChar w:fldCharType="separate"/>
          </w:r>
          <w:r>
            <w:t>50</w:t>
          </w:r>
          <w:r>
            <w:fldChar w:fldCharType="end"/>
          </w:r>
          <w:r>
            <w:rPr>
              <w:rFonts w:hint="default" w:ascii="Times New Roman" w:hAnsi="Times New Roman" w:eastAsia="Times New Roman" w:cs="Times New Roman"/>
              <w:color w:val="auto"/>
              <w:szCs w:val="24"/>
            </w:rPr>
            <w:fldChar w:fldCharType="end"/>
          </w:r>
        </w:p>
        <w:p w14:paraId="63AA2EBE">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_Toc20815 </w:instrText>
          </w:r>
          <w:r>
            <w:rPr>
              <w:rFonts w:hint="default" w:ascii="Times New Roman" w:hAnsi="Times New Roman" w:eastAsia="Times New Roman" w:cs="Times New Roman"/>
              <w:szCs w:val="24"/>
            </w:rPr>
            <w:fldChar w:fldCharType="separate"/>
          </w:r>
          <w:r>
            <w:rPr>
              <w:rFonts w:hint="default"/>
            </w:rPr>
            <w:t>8.4.2噪声监测分析过程中的质量保证和质量控制</w:t>
          </w:r>
          <w:r>
            <w:tab/>
          </w:r>
          <w:r>
            <w:fldChar w:fldCharType="begin"/>
          </w:r>
          <w:r>
            <w:instrText xml:space="preserve"> PAGEREF _Toc20815 \h </w:instrText>
          </w:r>
          <w:r>
            <w:fldChar w:fldCharType="separate"/>
          </w:r>
          <w:r>
            <w:t>51</w:t>
          </w:r>
          <w:r>
            <w:fldChar w:fldCharType="end"/>
          </w:r>
          <w:r>
            <w:rPr>
              <w:rFonts w:hint="default" w:ascii="Times New Roman" w:hAnsi="Times New Roman" w:eastAsia="Times New Roman" w:cs="Times New Roman"/>
              <w:color w:val="auto"/>
              <w:szCs w:val="24"/>
            </w:rPr>
            <w:fldChar w:fldCharType="end"/>
          </w:r>
        </w:p>
        <w:p w14:paraId="6CF9AD9D">
          <w:pPr>
            <w:pStyle w:val="11"/>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_Toc25740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9验收监测结果</w:t>
          </w:r>
          <w:r>
            <w:tab/>
          </w:r>
          <w:r>
            <w:fldChar w:fldCharType="begin"/>
          </w:r>
          <w:r>
            <w:instrText xml:space="preserve"> PAGEREF _Toc25740 \h </w:instrText>
          </w:r>
          <w:r>
            <w:fldChar w:fldCharType="separate"/>
          </w:r>
          <w:r>
            <w:t>53</w:t>
          </w:r>
          <w:r>
            <w:fldChar w:fldCharType="end"/>
          </w:r>
          <w:r>
            <w:rPr>
              <w:rFonts w:hint="default" w:ascii="Times New Roman" w:hAnsi="Times New Roman" w:eastAsia="Times New Roman" w:cs="Times New Roman"/>
              <w:color w:val="auto"/>
              <w:szCs w:val="24"/>
            </w:rPr>
            <w:fldChar w:fldCharType="end"/>
          </w:r>
        </w:p>
        <w:p w14:paraId="7B922C57">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_Toc20345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9.1生产工况</w:t>
          </w:r>
          <w:r>
            <w:tab/>
          </w:r>
          <w:r>
            <w:fldChar w:fldCharType="begin"/>
          </w:r>
          <w:r>
            <w:instrText xml:space="preserve"> PAGEREF _Toc20345 \h </w:instrText>
          </w:r>
          <w:r>
            <w:fldChar w:fldCharType="separate"/>
          </w:r>
          <w:r>
            <w:t>53</w:t>
          </w:r>
          <w:r>
            <w:fldChar w:fldCharType="end"/>
          </w:r>
          <w:r>
            <w:rPr>
              <w:rFonts w:hint="default" w:ascii="Times New Roman" w:hAnsi="Times New Roman" w:eastAsia="Times New Roman" w:cs="Times New Roman"/>
              <w:color w:val="auto"/>
              <w:szCs w:val="24"/>
            </w:rPr>
            <w:fldChar w:fldCharType="end"/>
          </w:r>
        </w:p>
        <w:p w14:paraId="3F8FB30A">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_Toc27890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9.2环保设施调试运行效果</w:t>
          </w:r>
          <w:r>
            <w:tab/>
          </w:r>
          <w:r>
            <w:fldChar w:fldCharType="begin"/>
          </w:r>
          <w:r>
            <w:instrText xml:space="preserve"> PAGEREF _Toc27890 \h </w:instrText>
          </w:r>
          <w:r>
            <w:fldChar w:fldCharType="separate"/>
          </w:r>
          <w:r>
            <w:t>53</w:t>
          </w:r>
          <w:r>
            <w:fldChar w:fldCharType="end"/>
          </w:r>
          <w:r>
            <w:rPr>
              <w:rFonts w:hint="default" w:ascii="Times New Roman" w:hAnsi="Times New Roman" w:eastAsia="Times New Roman" w:cs="Times New Roman"/>
              <w:color w:val="auto"/>
              <w:szCs w:val="24"/>
            </w:rPr>
            <w:fldChar w:fldCharType="end"/>
          </w:r>
        </w:p>
        <w:p w14:paraId="3DF312D5">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_Toc21814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9.2.</w:t>
          </w:r>
          <w:r>
            <w:rPr>
              <w:rFonts w:hint="default" w:ascii="Times New Roman" w:hAnsi="Times New Roman" w:cs="Times New Roman"/>
              <w:lang w:val="en-US" w:eastAsia="zh-CN"/>
            </w:rPr>
            <w:t>1</w:t>
          </w:r>
          <w:r>
            <w:rPr>
              <w:rFonts w:hint="default" w:ascii="Times New Roman" w:hAnsi="Times New Roman" w:cs="Times New Roman"/>
            </w:rPr>
            <w:t>污染物排放监测结果</w:t>
          </w:r>
          <w:r>
            <w:tab/>
          </w:r>
          <w:r>
            <w:fldChar w:fldCharType="begin"/>
          </w:r>
          <w:r>
            <w:instrText xml:space="preserve"> PAGEREF _Toc21814 \h </w:instrText>
          </w:r>
          <w:r>
            <w:fldChar w:fldCharType="separate"/>
          </w:r>
          <w:r>
            <w:t>53</w:t>
          </w:r>
          <w:r>
            <w:fldChar w:fldCharType="end"/>
          </w:r>
          <w:r>
            <w:rPr>
              <w:rFonts w:hint="default" w:ascii="Times New Roman" w:hAnsi="Times New Roman" w:eastAsia="Times New Roman" w:cs="Times New Roman"/>
              <w:color w:val="auto"/>
              <w:szCs w:val="24"/>
            </w:rPr>
            <w:fldChar w:fldCharType="end"/>
          </w:r>
        </w:p>
        <w:p w14:paraId="122CD66A">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_Toc2059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9.2.</w:t>
          </w:r>
          <w:r>
            <w:rPr>
              <w:rFonts w:hint="default" w:ascii="Times New Roman" w:hAnsi="Times New Roman" w:cs="Times New Roman"/>
              <w:lang w:val="en-US" w:eastAsia="zh-CN"/>
            </w:rPr>
            <w:t>2</w:t>
          </w:r>
          <w:r>
            <w:rPr>
              <w:rFonts w:hint="default" w:ascii="Times New Roman" w:hAnsi="Times New Roman" w:cs="Times New Roman"/>
            </w:rPr>
            <w:t>总量控制</w:t>
          </w:r>
          <w:r>
            <w:tab/>
          </w:r>
          <w:r>
            <w:fldChar w:fldCharType="begin"/>
          </w:r>
          <w:r>
            <w:instrText xml:space="preserve"> PAGEREF _Toc2059 \h </w:instrText>
          </w:r>
          <w:r>
            <w:fldChar w:fldCharType="separate"/>
          </w:r>
          <w:r>
            <w:t>62</w:t>
          </w:r>
          <w:r>
            <w:fldChar w:fldCharType="end"/>
          </w:r>
          <w:r>
            <w:rPr>
              <w:rFonts w:hint="default" w:ascii="Times New Roman" w:hAnsi="Times New Roman" w:eastAsia="Times New Roman" w:cs="Times New Roman"/>
              <w:color w:val="auto"/>
              <w:szCs w:val="24"/>
            </w:rPr>
            <w:fldChar w:fldCharType="end"/>
          </w:r>
        </w:p>
        <w:p w14:paraId="7792F3FA">
          <w:pPr>
            <w:pStyle w:val="11"/>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_Toc25498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10验收监测结论</w:t>
          </w:r>
          <w:r>
            <w:tab/>
          </w:r>
          <w:r>
            <w:fldChar w:fldCharType="begin"/>
          </w:r>
          <w:r>
            <w:instrText xml:space="preserve"> PAGEREF _Toc25498 \h </w:instrText>
          </w:r>
          <w:r>
            <w:fldChar w:fldCharType="separate"/>
          </w:r>
          <w:r>
            <w:t>63</w:t>
          </w:r>
          <w:r>
            <w:fldChar w:fldCharType="end"/>
          </w:r>
          <w:r>
            <w:rPr>
              <w:rFonts w:hint="default" w:ascii="Times New Roman" w:hAnsi="Times New Roman" w:eastAsia="Times New Roman" w:cs="Times New Roman"/>
              <w:color w:val="auto"/>
              <w:szCs w:val="24"/>
            </w:rPr>
            <w:fldChar w:fldCharType="end"/>
          </w:r>
        </w:p>
        <w:p w14:paraId="749FD2FE">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_Toc4086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10.1环保设施调试运行效果</w:t>
          </w:r>
          <w:r>
            <w:tab/>
          </w:r>
          <w:r>
            <w:fldChar w:fldCharType="begin"/>
          </w:r>
          <w:r>
            <w:instrText xml:space="preserve"> PAGEREF _Toc4086 \h </w:instrText>
          </w:r>
          <w:r>
            <w:fldChar w:fldCharType="separate"/>
          </w:r>
          <w:r>
            <w:t>63</w:t>
          </w:r>
          <w:r>
            <w:fldChar w:fldCharType="end"/>
          </w:r>
          <w:r>
            <w:rPr>
              <w:rFonts w:hint="default" w:ascii="Times New Roman" w:hAnsi="Times New Roman" w:eastAsia="Times New Roman" w:cs="Times New Roman"/>
              <w:color w:val="auto"/>
              <w:szCs w:val="24"/>
            </w:rPr>
            <w:fldChar w:fldCharType="end"/>
          </w:r>
        </w:p>
        <w:p w14:paraId="5F1A6432">
          <w:pPr>
            <w:pStyle w:val="8"/>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_Toc15416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10.1.1污染物排放监测结果</w:t>
          </w:r>
          <w:r>
            <w:tab/>
          </w:r>
          <w:r>
            <w:fldChar w:fldCharType="begin"/>
          </w:r>
          <w:r>
            <w:instrText xml:space="preserve"> PAGEREF _Toc15416 \h </w:instrText>
          </w:r>
          <w:r>
            <w:fldChar w:fldCharType="separate"/>
          </w:r>
          <w:r>
            <w:t>63</w:t>
          </w:r>
          <w:r>
            <w:fldChar w:fldCharType="end"/>
          </w:r>
          <w:r>
            <w:rPr>
              <w:rFonts w:hint="default" w:ascii="Times New Roman" w:hAnsi="Times New Roman" w:eastAsia="Times New Roman" w:cs="Times New Roman"/>
              <w:color w:val="auto"/>
              <w:szCs w:val="24"/>
            </w:rPr>
            <w:fldChar w:fldCharType="end"/>
          </w:r>
        </w:p>
        <w:p w14:paraId="0DA2060E">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_Toc6176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10.</w:t>
          </w:r>
          <w:r>
            <w:rPr>
              <w:rFonts w:hint="default" w:ascii="Times New Roman" w:hAnsi="Times New Roman" w:cs="Times New Roman"/>
              <w:lang w:val="en-US" w:eastAsia="zh-CN"/>
            </w:rPr>
            <w:t>2</w:t>
          </w:r>
          <w:r>
            <w:rPr>
              <w:rFonts w:hint="default" w:ascii="Times New Roman" w:hAnsi="Times New Roman" w:cs="Times New Roman"/>
            </w:rPr>
            <w:t>总体结论</w:t>
          </w:r>
          <w:r>
            <w:tab/>
          </w:r>
          <w:r>
            <w:fldChar w:fldCharType="begin"/>
          </w:r>
          <w:r>
            <w:instrText xml:space="preserve"> PAGEREF _Toc6176 \h </w:instrText>
          </w:r>
          <w:r>
            <w:fldChar w:fldCharType="separate"/>
          </w:r>
          <w:r>
            <w:t>64</w:t>
          </w:r>
          <w:r>
            <w:fldChar w:fldCharType="end"/>
          </w:r>
          <w:r>
            <w:rPr>
              <w:rFonts w:hint="default" w:ascii="Times New Roman" w:hAnsi="Times New Roman" w:eastAsia="Times New Roman" w:cs="Times New Roman"/>
              <w:color w:val="auto"/>
              <w:szCs w:val="24"/>
            </w:rPr>
            <w:fldChar w:fldCharType="end"/>
          </w:r>
        </w:p>
        <w:p w14:paraId="042F677F">
          <w:pPr>
            <w:pStyle w:val="12"/>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_Toc17481 </w:instrText>
          </w:r>
          <w:r>
            <w:rPr>
              <w:rFonts w:hint="default" w:ascii="Times New Roman" w:hAnsi="Times New Roman" w:eastAsia="Times New Roman" w:cs="Times New Roman"/>
              <w:szCs w:val="24"/>
            </w:rPr>
            <w:fldChar w:fldCharType="separate"/>
          </w:r>
          <w:r>
            <w:rPr>
              <w:rFonts w:hint="default" w:ascii="Times New Roman" w:hAnsi="Times New Roman" w:cs="Times New Roman"/>
            </w:rPr>
            <w:t>10.</w:t>
          </w:r>
          <w:r>
            <w:rPr>
              <w:rFonts w:hint="default" w:ascii="Times New Roman" w:hAnsi="Times New Roman" w:cs="Times New Roman"/>
              <w:lang w:val="en-US" w:eastAsia="zh-CN"/>
            </w:rPr>
            <w:t>3</w:t>
          </w:r>
          <w:r>
            <w:rPr>
              <w:rFonts w:hint="default" w:ascii="Times New Roman" w:hAnsi="Times New Roman" w:cs="Times New Roman"/>
            </w:rPr>
            <w:t>建议与要求</w:t>
          </w:r>
          <w:r>
            <w:tab/>
          </w:r>
          <w:r>
            <w:fldChar w:fldCharType="begin"/>
          </w:r>
          <w:r>
            <w:instrText xml:space="preserve"> PAGEREF _Toc17481 \h </w:instrText>
          </w:r>
          <w:r>
            <w:fldChar w:fldCharType="separate"/>
          </w:r>
          <w:r>
            <w:t>64</w:t>
          </w:r>
          <w:r>
            <w:fldChar w:fldCharType="end"/>
          </w:r>
          <w:r>
            <w:rPr>
              <w:rFonts w:hint="default" w:ascii="Times New Roman" w:hAnsi="Times New Roman" w:eastAsia="Times New Roman" w:cs="Times New Roman"/>
              <w:color w:val="auto"/>
              <w:szCs w:val="24"/>
            </w:rPr>
            <w:fldChar w:fldCharType="end"/>
          </w:r>
        </w:p>
        <w:p w14:paraId="579C49E5">
          <w:pPr>
            <w:pStyle w:val="11"/>
            <w:tabs>
              <w:tab w:val="right" w:leader="dot" w:pos="9812"/>
            </w:tabs>
          </w:pPr>
          <w:r>
            <w:rPr>
              <w:rFonts w:hint="default" w:ascii="Times New Roman" w:hAnsi="Times New Roman" w:eastAsia="Times New Roman" w:cs="Times New Roman"/>
              <w:color w:val="auto"/>
              <w:szCs w:val="24"/>
            </w:rPr>
            <w:fldChar w:fldCharType="begin"/>
          </w:r>
          <w:r>
            <w:rPr>
              <w:rFonts w:hint="default" w:ascii="Times New Roman" w:hAnsi="Times New Roman" w:eastAsia="Times New Roman" w:cs="Times New Roman"/>
              <w:szCs w:val="24"/>
            </w:rPr>
            <w:instrText xml:space="preserve"> HYPERLINK \l _Toc6749 </w:instrText>
          </w:r>
          <w:r>
            <w:rPr>
              <w:rFonts w:hint="default" w:ascii="Times New Roman" w:hAnsi="Times New Roman" w:eastAsia="Times New Roman" w:cs="Times New Roman"/>
              <w:szCs w:val="24"/>
            </w:rPr>
            <w:fldChar w:fldCharType="separate"/>
          </w:r>
          <w:r>
            <w:rPr>
              <w:rFonts w:hint="default" w:ascii="Times New Roman" w:hAnsi="Times New Roman" w:eastAsia="宋体" w:cs="Times New Roman"/>
              <w:szCs w:val="21"/>
              <w14:textOutline w14:w="5442" w14:cap="flat" w14:cmpd="sng">
                <w14:solidFill>
                  <w14:srgbClr w14:val="000000"/>
                </w14:solidFill>
                <w14:prstDash w14:val="solid"/>
                <w14:miter w14:val="0"/>
              </w14:textOutline>
            </w:rPr>
            <w:t>建设项目竣工环境保护</w:t>
          </w:r>
          <w:r>
            <w:rPr>
              <w:rFonts w:hint="eastAsia" w:eastAsia="宋体" w:cs="Times New Roman"/>
              <w:bCs/>
              <w:szCs w:val="21"/>
              <w:lang w:eastAsia="zh-CN"/>
            </w:rPr>
            <w:t>“</w:t>
          </w:r>
          <w:r>
            <w:rPr>
              <w:rFonts w:hint="default" w:ascii="Times New Roman" w:hAnsi="Times New Roman" w:eastAsia="宋体" w:cs="Times New Roman"/>
              <w:szCs w:val="21"/>
              <w14:textOutline w14:w="5442" w14:cap="flat" w14:cmpd="sng">
                <w14:solidFill>
                  <w14:srgbClr w14:val="000000"/>
                </w14:solidFill>
                <w14:prstDash w14:val="solid"/>
                <w14:miter w14:val="0"/>
              </w14:textOutline>
            </w:rPr>
            <w:t>三同时</w:t>
          </w:r>
          <w:r>
            <w:rPr>
              <w:rFonts w:hint="eastAsia" w:eastAsia="宋体" w:cs="Times New Roman"/>
              <w:bCs/>
              <w:szCs w:val="21"/>
              <w:lang w:eastAsia="zh-CN"/>
            </w:rPr>
            <w:t>”</w:t>
          </w:r>
          <w:r>
            <w:rPr>
              <w:rFonts w:hint="default" w:ascii="Times New Roman" w:hAnsi="Times New Roman" w:eastAsia="宋体" w:cs="Times New Roman"/>
              <w:szCs w:val="21"/>
              <w14:textOutline w14:w="5442" w14:cap="flat" w14:cmpd="sng">
                <w14:solidFill>
                  <w14:srgbClr w14:val="000000"/>
                </w14:solidFill>
                <w14:prstDash w14:val="solid"/>
                <w14:miter w14:val="0"/>
              </w14:textOutline>
            </w:rPr>
            <w:t>验收登</w:t>
          </w:r>
          <w:r>
            <w:rPr>
              <w:rFonts w:hint="default" w:ascii="Times New Roman" w:hAnsi="Times New Roman" w:eastAsia="宋体" w:cs="Times New Roman"/>
              <w:spacing w:val="-1"/>
              <w:szCs w:val="21"/>
              <w14:textOutline w14:w="5442" w14:cap="flat" w14:cmpd="sng">
                <w14:solidFill>
                  <w14:srgbClr w14:val="000000"/>
                </w14:solidFill>
                <w14:prstDash w14:val="solid"/>
                <w14:miter w14:val="0"/>
              </w14:textOutline>
            </w:rPr>
            <w:t>记表</w:t>
          </w:r>
          <w:r>
            <w:tab/>
          </w:r>
          <w:r>
            <w:fldChar w:fldCharType="begin"/>
          </w:r>
          <w:r>
            <w:instrText xml:space="preserve"> PAGEREF _Toc6749 \h </w:instrText>
          </w:r>
          <w:r>
            <w:fldChar w:fldCharType="separate"/>
          </w:r>
          <w:r>
            <w:t>65</w:t>
          </w:r>
          <w:r>
            <w:fldChar w:fldCharType="end"/>
          </w:r>
          <w:r>
            <w:rPr>
              <w:rFonts w:hint="default" w:ascii="Times New Roman" w:hAnsi="Times New Roman" w:eastAsia="Times New Roman" w:cs="Times New Roman"/>
              <w:color w:val="auto"/>
              <w:szCs w:val="24"/>
            </w:rPr>
            <w:fldChar w:fldCharType="end"/>
          </w:r>
        </w:p>
        <w:p w14:paraId="2623C4D9">
          <w:pPr>
            <w:keepNext w:val="0"/>
            <w:keepLines w:val="0"/>
            <w:pageBreakBefore w:val="0"/>
            <w:widowControl/>
            <w:kinsoku w:val="0"/>
            <w:wordWrap/>
            <w:overflowPunct/>
            <w:topLinePunct w:val="0"/>
            <w:autoSpaceDE/>
            <w:autoSpaceDN/>
            <w:bidi w:val="0"/>
            <w:adjustRightInd w:val="0"/>
            <w:snapToGrid w:val="0"/>
            <w:textAlignment w:val="baseline"/>
            <w:outlineLvl w:val="9"/>
            <w:rPr>
              <w:rFonts w:hint="default" w:ascii="Times New Roman" w:hAnsi="Times New Roman" w:cs="Times New Roman"/>
              <w:color w:val="auto"/>
              <w:lang w:val="en-US" w:eastAsia="zh-CN"/>
            </w:rPr>
          </w:pPr>
          <w:r>
            <w:rPr>
              <w:rFonts w:hint="default" w:ascii="Times New Roman" w:hAnsi="Times New Roman" w:eastAsia="Times New Roman" w:cs="Times New Roman"/>
              <w:color w:val="auto"/>
              <w:szCs w:val="24"/>
            </w:rPr>
            <w:fldChar w:fldCharType="end"/>
          </w:r>
        </w:p>
      </w:sdtContent>
    </w:sdt>
    <w:p w14:paraId="14619C10">
      <w:pPr>
        <w:keepNext w:val="0"/>
        <w:keepLines w:val="0"/>
        <w:pageBreakBefore w:val="0"/>
        <w:widowControl/>
        <w:kinsoku w:val="0"/>
        <w:wordWrap/>
        <w:overflowPunct/>
        <w:topLinePunct w:val="0"/>
        <w:autoSpaceDE/>
        <w:autoSpaceDN/>
        <w:bidi w:val="0"/>
        <w:adjustRightInd w:val="0"/>
        <w:snapToGrid w:val="0"/>
        <w:textAlignment w:val="baseline"/>
        <w:outlineLvl w:val="9"/>
        <w:rPr>
          <w:rFonts w:hint="default" w:ascii="Times New Roman" w:hAnsi="Times New Roman" w:cs="Times New Roman"/>
          <w:color w:val="auto"/>
        </w:rPr>
        <w:sectPr>
          <w:pgSz w:w="11912" w:h="16841"/>
          <w:pgMar w:top="1289" w:right="1049" w:bottom="0" w:left="1051" w:header="1078" w:footer="0" w:gutter="0"/>
          <w:cols w:space="720" w:num="1"/>
        </w:sectPr>
      </w:pPr>
    </w:p>
    <w:p w14:paraId="1C544727">
      <w:pPr>
        <w:pStyle w:val="2"/>
        <w:bidi w:val="0"/>
        <w:rPr>
          <w:rFonts w:hint="default" w:ascii="Times New Roman" w:hAnsi="Times New Roman" w:cs="Times New Roman"/>
          <w:color w:val="auto"/>
        </w:rPr>
      </w:pPr>
      <w:bookmarkStart w:id="5" w:name="_Toc13048"/>
      <w:r>
        <w:rPr>
          <w:rFonts w:hint="default" w:ascii="Times New Roman" w:hAnsi="Times New Roman" w:cs="Times New Roman"/>
          <w:color w:val="auto"/>
        </w:rPr>
        <w:t>1项目概况</w:t>
      </w:r>
      <w:bookmarkEnd w:id="5"/>
    </w:p>
    <w:p w14:paraId="47F55897">
      <w:pPr>
        <w:pStyle w:val="3"/>
        <w:bidi w:val="0"/>
        <w:rPr>
          <w:color w:val="auto"/>
        </w:rPr>
      </w:pPr>
      <w:bookmarkStart w:id="6" w:name="_Toc18382"/>
      <w:r>
        <w:rPr>
          <w:rFonts w:hint="default"/>
          <w:color w:val="auto"/>
          <w:lang w:val="en-US" w:eastAsia="zh-CN"/>
        </w:rPr>
        <w:t>1.1</w:t>
      </w:r>
      <w:r>
        <w:rPr>
          <w:rFonts w:hint="eastAsia"/>
          <w:color w:val="auto"/>
          <w:lang w:val="en-US" w:eastAsia="zh-CN"/>
        </w:rPr>
        <w:t>项目基本情况</w:t>
      </w:r>
      <w:bookmarkEnd w:id="6"/>
    </w:p>
    <w:p w14:paraId="666A35DD">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福州市红庙岭垃圾焚烧发电厂运行后，为应对其飞灰对环境构成</w:t>
      </w:r>
      <w:r>
        <w:rPr>
          <w:rFonts w:hint="default" w:ascii="Times New Roman" w:hAnsi="Times New Roman" w:eastAsia="宋体" w:cs="Times New Roman"/>
          <w:color w:val="auto"/>
          <w:spacing w:val="-1"/>
          <w:sz w:val="24"/>
          <w:szCs w:val="24"/>
        </w:rPr>
        <w:t>的潜在威胁及二次污</w:t>
      </w:r>
      <w:r>
        <w:rPr>
          <w:rFonts w:hint="default" w:ascii="Times New Roman" w:hAnsi="Times New Roman" w:eastAsia="宋体" w:cs="Times New Roman"/>
          <w:color w:val="auto"/>
          <w:sz w:val="24"/>
          <w:szCs w:val="24"/>
        </w:rPr>
        <w:t>染，福州市人民政府以公开招标的方式选择福州市红庙岭</w:t>
      </w:r>
      <w:r>
        <w:rPr>
          <w:rFonts w:hint="default" w:ascii="Times New Roman" w:hAnsi="Times New Roman" w:eastAsia="宋体" w:cs="Times New Roman"/>
          <w:color w:val="auto"/>
          <w:spacing w:val="-1"/>
          <w:sz w:val="24"/>
          <w:szCs w:val="24"/>
        </w:rPr>
        <w:t>垃圾焚烧发电厂飞灰稳定化预处理</w:t>
      </w:r>
      <w:r>
        <w:rPr>
          <w:rFonts w:hint="default" w:ascii="Times New Roman" w:hAnsi="Times New Roman" w:eastAsia="Times New Roman" w:cs="Times New Roman"/>
          <w:color w:val="auto"/>
          <w:spacing w:val="-4"/>
          <w:sz w:val="24"/>
          <w:szCs w:val="24"/>
        </w:rPr>
        <w:t>BOT</w:t>
      </w:r>
      <w:r>
        <w:rPr>
          <w:rFonts w:hint="default" w:ascii="Times New Roman" w:hAnsi="Times New Roman" w:eastAsia="宋体" w:cs="Times New Roman"/>
          <w:color w:val="auto"/>
          <w:spacing w:val="-4"/>
          <w:sz w:val="24"/>
          <w:szCs w:val="24"/>
        </w:rPr>
        <w:t>项目的投资人，由投资人组建了福州市大新飞灰处理有限公司。公司于</w:t>
      </w:r>
      <w:r>
        <w:rPr>
          <w:rFonts w:hint="default" w:ascii="Times New Roman" w:hAnsi="Times New Roman" w:eastAsia="Times New Roman" w:cs="Times New Roman"/>
          <w:color w:val="auto"/>
          <w:spacing w:val="-4"/>
          <w:sz w:val="24"/>
          <w:szCs w:val="24"/>
        </w:rPr>
        <w:t>2009</w:t>
      </w:r>
      <w:r>
        <w:rPr>
          <w:rFonts w:hint="default" w:ascii="Times New Roman" w:hAnsi="Times New Roman" w:eastAsia="宋体" w:cs="Times New Roman"/>
          <w:color w:val="auto"/>
          <w:spacing w:val="-4"/>
          <w:sz w:val="24"/>
          <w:szCs w:val="24"/>
        </w:rPr>
        <w:t>年</w:t>
      </w:r>
      <w:r>
        <w:rPr>
          <w:rFonts w:hint="default" w:ascii="Times New Roman" w:hAnsi="Times New Roman" w:eastAsia="Times New Roman" w:cs="Times New Roman"/>
          <w:color w:val="auto"/>
          <w:spacing w:val="-4"/>
          <w:sz w:val="24"/>
          <w:szCs w:val="24"/>
        </w:rPr>
        <w:t>4</w:t>
      </w:r>
      <w:r>
        <w:rPr>
          <w:rFonts w:hint="default" w:ascii="Times New Roman" w:hAnsi="Times New Roman" w:eastAsia="宋体" w:cs="Times New Roman"/>
          <w:color w:val="auto"/>
          <w:spacing w:val="-4"/>
          <w:sz w:val="24"/>
          <w:szCs w:val="24"/>
        </w:rPr>
        <w:t>月注册成</w:t>
      </w:r>
      <w:r>
        <w:rPr>
          <w:rFonts w:hint="default" w:ascii="Times New Roman" w:hAnsi="Times New Roman" w:eastAsia="宋体" w:cs="Times New Roman"/>
          <w:color w:val="auto"/>
          <w:sz w:val="24"/>
          <w:szCs w:val="24"/>
        </w:rPr>
        <w:t>立</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营业执照见附件1</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val="en-US" w:eastAsia="zh-CN"/>
        </w:rPr>
        <w:t>是</w:t>
      </w:r>
      <w:r>
        <w:rPr>
          <w:rFonts w:hint="default" w:ascii="Times New Roman" w:hAnsi="Times New Roman" w:eastAsia="宋体" w:cs="Times New Roman"/>
          <w:color w:val="auto"/>
          <w:sz w:val="24"/>
          <w:szCs w:val="24"/>
        </w:rPr>
        <w:t>专门为福州市红庙岭垃圾焚烧发电厂飞灰稳定化预处理</w:t>
      </w:r>
      <w:r>
        <w:rPr>
          <w:rFonts w:hint="default" w:ascii="Times New Roman" w:hAnsi="Times New Roman" w:eastAsia="Times New Roman" w:cs="Times New Roman"/>
          <w:color w:val="auto"/>
          <w:sz w:val="24"/>
          <w:szCs w:val="24"/>
        </w:rPr>
        <w:t>BOT</w:t>
      </w:r>
      <w:r>
        <w:rPr>
          <w:rFonts w:hint="default" w:ascii="Times New Roman" w:hAnsi="Times New Roman" w:eastAsia="宋体" w:cs="Times New Roman"/>
          <w:color w:val="auto"/>
          <w:sz w:val="24"/>
          <w:szCs w:val="24"/>
        </w:rPr>
        <w:t>项目配套的项目公</w:t>
      </w:r>
      <w:r>
        <w:rPr>
          <w:rFonts w:hint="default" w:ascii="Times New Roman" w:hAnsi="Times New Roman" w:eastAsia="宋体" w:cs="Times New Roman"/>
          <w:color w:val="auto"/>
          <w:spacing w:val="-1"/>
          <w:sz w:val="24"/>
          <w:szCs w:val="24"/>
        </w:rPr>
        <w:t>司，公司注册资金</w:t>
      </w:r>
      <w:r>
        <w:rPr>
          <w:rFonts w:hint="default" w:ascii="Times New Roman" w:hAnsi="Times New Roman" w:eastAsia="Times New Roman" w:cs="Times New Roman"/>
          <w:color w:val="auto"/>
          <w:spacing w:val="-1"/>
          <w:sz w:val="24"/>
          <w:szCs w:val="24"/>
        </w:rPr>
        <w:t>5000</w:t>
      </w:r>
      <w:r>
        <w:rPr>
          <w:rFonts w:hint="default" w:ascii="Times New Roman" w:hAnsi="Times New Roman" w:eastAsia="宋体" w:cs="Times New Roman"/>
          <w:color w:val="auto"/>
          <w:spacing w:val="-1"/>
          <w:sz w:val="24"/>
          <w:szCs w:val="24"/>
        </w:rPr>
        <w:t>万元。</w:t>
      </w:r>
      <w:r>
        <w:rPr>
          <w:rFonts w:hint="default" w:ascii="Times New Roman" w:hAnsi="Times New Roman" w:eastAsia="Times New Roman" w:cs="Times New Roman"/>
          <w:color w:val="auto"/>
          <w:spacing w:val="-1"/>
          <w:sz w:val="24"/>
          <w:szCs w:val="24"/>
        </w:rPr>
        <w:t>2010</w:t>
      </w:r>
      <w:r>
        <w:rPr>
          <w:rFonts w:hint="default" w:ascii="Times New Roman" w:hAnsi="Times New Roman" w:eastAsia="宋体" w:cs="Times New Roman"/>
          <w:color w:val="auto"/>
          <w:spacing w:val="-1"/>
          <w:sz w:val="24"/>
          <w:szCs w:val="24"/>
        </w:rPr>
        <w:t>年</w:t>
      </w:r>
      <w:r>
        <w:rPr>
          <w:rFonts w:hint="default" w:ascii="Times New Roman" w:hAnsi="Times New Roman" w:eastAsia="Times New Roman" w:cs="Times New Roman"/>
          <w:color w:val="auto"/>
          <w:spacing w:val="-1"/>
          <w:sz w:val="24"/>
          <w:szCs w:val="24"/>
        </w:rPr>
        <w:t>2</w:t>
      </w:r>
      <w:r>
        <w:rPr>
          <w:rFonts w:hint="default" w:ascii="Times New Roman" w:hAnsi="Times New Roman" w:eastAsia="宋体" w:cs="Times New Roman"/>
          <w:color w:val="auto"/>
          <w:spacing w:val="-1"/>
          <w:sz w:val="24"/>
          <w:szCs w:val="24"/>
        </w:rPr>
        <w:t>月</w:t>
      </w:r>
      <w:r>
        <w:rPr>
          <w:rFonts w:hint="default" w:ascii="Times New Roman" w:hAnsi="Times New Roman" w:cs="Times New Roman"/>
          <w:color w:val="auto"/>
          <w:spacing w:val="-1"/>
          <w:sz w:val="24"/>
          <w:szCs w:val="24"/>
          <w:lang w:val="en-US" w:eastAsia="zh-CN"/>
        </w:rPr>
        <w:t>委托</w:t>
      </w:r>
      <w:r>
        <w:rPr>
          <w:rFonts w:hint="default" w:ascii="Times New Roman" w:hAnsi="Times New Roman" w:eastAsia="宋体" w:cs="Times New Roman"/>
          <w:color w:val="auto"/>
          <w:spacing w:val="-1"/>
          <w:sz w:val="24"/>
          <w:szCs w:val="24"/>
        </w:rPr>
        <w:t>福州市环境科学研究院编制了《福州市红</w:t>
      </w:r>
      <w:r>
        <w:rPr>
          <w:rFonts w:hint="default" w:ascii="Times New Roman" w:hAnsi="Times New Roman" w:eastAsia="宋体" w:cs="Times New Roman"/>
          <w:color w:val="auto"/>
          <w:sz w:val="24"/>
          <w:szCs w:val="24"/>
        </w:rPr>
        <w:t>庙岭垃圾焚烧发电厂飞灰稳定化处理项目环境影响报告书》，原福建省环境保护厅于</w:t>
      </w:r>
      <w:r>
        <w:rPr>
          <w:rFonts w:hint="default" w:ascii="Times New Roman" w:hAnsi="Times New Roman" w:eastAsia="Times New Roman" w:cs="Times New Roman"/>
          <w:color w:val="auto"/>
          <w:sz w:val="24"/>
          <w:szCs w:val="24"/>
        </w:rPr>
        <w:t>20</w:t>
      </w:r>
      <w:r>
        <w:rPr>
          <w:rFonts w:hint="default" w:ascii="Times New Roman" w:hAnsi="Times New Roman" w:eastAsia="Times New Roman" w:cs="Times New Roman"/>
          <w:color w:val="auto"/>
          <w:spacing w:val="-1"/>
          <w:sz w:val="24"/>
          <w:szCs w:val="24"/>
        </w:rPr>
        <w:t>10</w:t>
      </w:r>
      <w:r>
        <w:rPr>
          <w:rFonts w:hint="default" w:ascii="Times New Roman" w:hAnsi="Times New Roman" w:eastAsia="宋体" w:cs="Times New Roman"/>
          <w:color w:val="auto"/>
          <w:spacing w:val="-1"/>
          <w:sz w:val="24"/>
          <w:szCs w:val="24"/>
        </w:rPr>
        <w:t>年</w:t>
      </w:r>
      <w:r>
        <w:rPr>
          <w:rFonts w:hint="default" w:ascii="Times New Roman" w:hAnsi="Times New Roman" w:eastAsia="Times New Roman" w:cs="Times New Roman"/>
          <w:color w:val="auto"/>
          <w:spacing w:val="-1"/>
          <w:sz w:val="24"/>
          <w:szCs w:val="24"/>
        </w:rPr>
        <w:t>2</w:t>
      </w:r>
      <w:r>
        <w:rPr>
          <w:rFonts w:hint="default" w:ascii="Times New Roman" w:hAnsi="Times New Roman" w:eastAsia="宋体" w:cs="Times New Roman"/>
          <w:color w:val="auto"/>
          <w:sz w:val="24"/>
          <w:szCs w:val="24"/>
        </w:rPr>
        <w:t>月</w:t>
      </w:r>
      <w:r>
        <w:rPr>
          <w:rFonts w:hint="default" w:ascii="Times New Roman" w:hAnsi="Times New Roman" w:eastAsia="Times New Roman" w:cs="Times New Roman"/>
          <w:color w:val="auto"/>
          <w:sz w:val="24"/>
          <w:szCs w:val="24"/>
        </w:rPr>
        <w:t>24</w:t>
      </w:r>
      <w:r>
        <w:rPr>
          <w:rFonts w:hint="default" w:ascii="Times New Roman" w:hAnsi="Times New Roman" w:eastAsia="宋体" w:cs="Times New Roman"/>
          <w:color w:val="auto"/>
          <w:sz w:val="24"/>
          <w:szCs w:val="24"/>
        </w:rPr>
        <w:t>日对该项目进行了批复（闽环保监〔</w:t>
      </w:r>
      <w:r>
        <w:rPr>
          <w:rFonts w:hint="default" w:ascii="Times New Roman" w:hAnsi="Times New Roman" w:eastAsia="Times New Roman" w:cs="Times New Roman"/>
          <w:color w:val="auto"/>
          <w:sz w:val="24"/>
          <w:szCs w:val="24"/>
        </w:rPr>
        <w:t>2010</w:t>
      </w:r>
      <w:r>
        <w:rPr>
          <w:rFonts w:hint="default" w:ascii="Times New Roman" w:hAnsi="Times New Roman" w:eastAsia="宋体" w:cs="Times New Roman"/>
          <w:color w:val="auto"/>
          <w:sz w:val="24"/>
          <w:szCs w:val="24"/>
        </w:rPr>
        <w:t>〕</w:t>
      </w:r>
      <w:r>
        <w:rPr>
          <w:rFonts w:hint="default" w:ascii="Times New Roman" w:hAnsi="Times New Roman" w:eastAsia="Times New Roman" w:cs="Times New Roman"/>
          <w:color w:val="auto"/>
          <w:sz w:val="24"/>
          <w:szCs w:val="24"/>
        </w:rPr>
        <w:t>16</w:t>
      </w:r>
      <w:r>
        <w:rPr>
          <w:rFonts w:hint="default" w:ascii="Times New Roman" w:hAnsi="Times New Roman" w:eastAsia="宋体" w:cs="Times New Roman"/>
          <w:color w:val="auto"/>
          <w:sz w:val="24"/>
          <w:szCs w:val="24"/>
        </w:rPr>
        <w:t>号），该项目于</w:t>
      </w:r>
      <w:r>
        <w:rPr>
          <w:rFonts w:hint="default" w:ascii="Times New Roman" w:hAnsi="Times New Roman" w:eastAsia="Times New Roman" w:cs="Times New Roman"/>
          <w:color w:val="auto"/>
          <w:sz w:val="24"/>
          <w:szCs w:val="24"/>
        </w:rPr>
        <w:t>2011</w:t>
      </w:r>
      <w:r>
        <w:rPr>
          <w:rFonts w:hint="default" w:ascii="Times New Roman" w:hAnsi="Times New Roman" w:eastAsia="宋体" w:cs="Times New Roman"/>
          <w:color w:val="auto"/>
          <w:spacing w:val="-1"/>
          <w:sz w:val="24"/>
          <w:szCs w:val="24"/>
        </w:rPr>
        <w:t>年</w:t>
      </w:r>
      <w:r>
        <w:rPr>
          <w:rFonts w:hint="default" w:ascii="Times New Roman" w:hAnsi="Times New Roman" w:eastAsia="Times New Roman" w:cs="Times New Roman"/>
          <w:color w:val="auto"/>
          <w:spacing w:val="-1"/>
          <w:sz w:val="24"/>
          <w:szCs w:val="24"/>
        </w:rPr>
        <w:t>8</w:t>
      </w:r>
      <w:r>
        <w:rPr>
          <w:rFonts w:hint="default" w:ascii="Times New Roman" w:hAnsi="Times New Roman" w:eastAsia="宋体" w:cs="Times New Roman"/>
          <w:color w:val="auto"/>
          <w:spacing w:val="-1"/>
          <w:sz w:val="24"/>
          <w:szCs w:val="24"/>
        </w:rPr>
        <w:t>月建成投产，</w:t>
      </w:r>
      <w:r>
        <w:rPr>
          <w:rFonts w:hint="default" w:ascii="Times New Roman" w:hAnsi="Times New Roman" w:eastAsia="Times New Roman" w:cs="Times New Roman"/>
          <w:color w:val="auto"/>
          <w:spacing w:val="-1"/>
          <w:sz w:val="24"/>
          <w:szCs w:val="24"/>
        </w:rPr>
        <w:t>2013</w:t>
      </w:r>
      <w:r>
        <w:rPr>
          <w:rFonts w:hint="default" w:ascii="Times New Roman" w:hAnsi="Times New Roman" w:eastAsia="宋体" w:cs="Times New Roman"/>
          <w:color w:val="auto"/>
          <w:spacing w:val="-4"/>
          <w:sz w:val="24"/>
          <w:szCs w:val="24"/>
        </w:rPr>
        <w:t>年</w:t>
      </w:r>
      <w:r>
        <w:rPr>
          <w:rFonts w:hint="default" w:ascii="Times New Roman" w:hAnsi="Times New Roman" w:eastAsia="Times New Roman" w:cs="Times New Roman"/>
          <w:color w:val="auto"/>
          <w:spacing w:val="-4"/>
          <w:sz w:val="24"/>
          <w:szCs w:val="24"/>
        </w:rPr>
        <w:t>3</w:t>
      </w:r>
      <w:r>
        <w:rPr>
          <w:rFonts w:hint="default" w:ascii="Times New Roman" w:hAnsi="Times New Roman" w:eastAsia="宋体" w:cs="Times New Roman"/>
          <w:color w:val="auto"/>
          <w:spacing w:val="-4"/>
          <w:sz w:val="24"/>
          <w:szCs w:val="24"/>
        </w:rPr>
        <w:t>月通过验收（闽环评验</w:t>
      </w:r>
      <w:r>
        <w:rPr>
          <w:rFonts w:hint="default" w:ascii="Times New Roman" w:hAnsi="Times New Roman" w:eastAsia="Times New Roman" w:cs="Times New Roman"/>
          <w:color w:val="auto"/>
          <w:spacing w:val="-4"/>
          <w:sz w:val="24"/>
          <w:szCs w:val="24"/>
        </w:rPr>
        <w:t>[2013]2</w:t>
      </w:r>
      <w:r>
        <w:rPr>
          <w:rFonts w:hint="default" w:ascii="Times New Roman" w:hAnsi="Times New Roman" w:eastAsia="宋体" w:cs="Times New Roman"/>
          <w:color w:val="auto"/>
          <w:spacing w:val="-4"/>
          <w:sz w:val="24"/>
          <w:szCs w:val="24"/>
        </w:rPr>
        <w:t>号）。</w:t>
      </w:r>
    </w:p>
    <w:p w14:paraId="42B56D31">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公司于2018年投资</w:t>
      </w:r>
      <w:r>
        <w:rPr>
          <w:rFonts w:hint="default" w:ascii="Times New Roman" w:hAnsi="Times New Roman" w:eastAsia="Times New Roman" w:cs="Times New Roman"/>
          <w:color w:val="auto"/>
          <w:spacing w:val="-3"/>
          <w:sz w:val="24"/>
          <w:szCs w:val="24"/>
        </w:rPr>
        <w:t>2000</w:t>
      </w:r>
      <w:r>
        <w:rPr>
          <w:rFonts w:hint="default" w:ascii="Times New Roman" w:hAnsi="Times New Roman" w:eastAsia="宋体" w:cs="Times New Roman"/>
          <w:color w:val="auto"/>
          <w:spacing w:val="-3"/>
          <w:sz w:val="24"/>
          <w:szCs w:val="24"/>
        </w:rPr>
        <w:t>万元</w:t>
      </w:r>
      <w:r>
        <w:rPr>
          <w:rFonts w:hint="default" w:ascii="Times New Roman" w:hAnsi="Times New Roman" w:cs="Times New Roman"/>
          <w:color w:val="auto"/>
          <w:spacing w:val="-3"/>
          <w:sz w:val="24"/>
          <w:szCs w:val="24"/>
          <w:lang w:eastAsia="zh-CN"/>
        </w:rPr>
        <w:t>，</w:t>
      </w:r>
      <w:r>
        <w:rPr>
          <w:rFonts w:hint="default" w:ascii="Times New Roman" w:hAnsi="Times New Roman" w:cs="Times New Roman"/>
          <w:color w:val="auto"/>
          <w:kern w:val="1"/>
          <w:u w:val="none"/>
        </w:rPr>
        <w:t>建设福州市红庙岭垃圾焚烧发电厂飞灰稳定化预处理</w:t>
      </w:r>
      <w:r>
        <w:rPr>
          <w:rFonts w:hint="default" w:ascii="Times New Roman" w:hAnsi="Times New Roman" w:cs="Times New Roman"/>
          <w:color w:val="auto"/>
          <w:kern w:val="1"/>
          <w:u w:val="none"/>
          <w:lang w:eastAsia="zh-CN"/>
        </w:rPr>
        <w:t>改扩建</w:t>
      </w:r>
      <w:r>
        <w:rPr>
          <w:rFonts w:hint="default" w:ascii="Times New Roman" w:hAnsi="Times New Roman" w:cs="Times New Roman"/>
          <w:color w:val="auto"/>
          <w:kern w:val="1"/>
          <w:u w:val="none"/>
        </w:rPr>
        <w:t>工程BOT项目</w:t>
      </w:r>
      <w:r>
        <w:rPr>
          <w:rFonts w:hint="eastAsia" w:cs="Times New Roman"/>
          <w:color w:val="auto"/>
          <w:kern w:val="1"/>
          <w:u w:val="none"/>
          <w:lang w:eastAsia="zh-CN"/>
        </w:rPr>
        <w:t>，</w:t>
      </w:r>
      <w:r>
        <w:rPr>
          <w:rFonts w:hint="default" w:ascii="Times New Roman" w:hAnsi="Times New Roman" w:cs="Times New Roman"/>
          <w:color w:val="auto"/>
          <w:kern w:val="1"/>
          <w:u w:val="none"/>
        </w:rPr>
        <w:t>即建设1条处理能力为100t/d的飞灰稳定化预处理生产线（</w:t>
      </w:r>
      <w:r>
        <w:rPr>
          <w:rFonts w:hint="default" w:ascii="Times New Roman" w:hAnsi="Times New Roman" w:cs="Times New Roman"/>
          <w:color w:val="auto"/>
          <w:u w:val="none"/>
        </w:rPr>
        <w:t>该生产线位于现有2#厂房内，其投入使用后，原有一期一条50t/d的生产线和一条50t/d的备用线均作为备用，即生产规模为一条100t/d的生产线正常运营，两条50t/d的生产线备用</w:t>
      </w:r>
      <w:r>
        <w:rPr>
          <w:rFonts w:hint="default" w:ascii="Times New Roman" w:hAnsi="Times New Roman" w:cs="Times New Roman"/>
          <w:color w:val="auto"/>
          <w:kern w:val="1"/>
          <w:u w:val="none"/>
        </w:rPr>
        <w:t>，该项目于2018年8月通过原福州市环境保护局的环评批复（榕环评[2018]70号）</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kern w:val="1"/>
          <w:u w:val="none"/>
        </w:rPr>
        <w:t>并于2019年8月完成建设后投入试生产，2019年12月委托福建省永正生态科技有限公司编制《福州市红庙岭垃圾焚烧发电厂飞灰稳定化预处理</w:t>
      </w:r>
      <w:r>
        <w:rPr>
          <w:rFonts w:hint="default" w:ascii="Times New Roman" w:hAnsi="Times New Roman" w:cs="Times New Roman"/>
          <w:color w:val="auto"/>
          <w:kern w:val="1"/>
          <w:u w:val="none"/>
          <w:lang w:eastAsia="zh-CN"/>
        </w:rPr>
        <w:t>改扩建</w:t>
      </w:r>
      <w:r>
        <w:rPr>
          <w:rFonts w:hint="default" w:ascii="Times New Roman" w:hAnsi="Times New Roman" w:cs="Times New Roman"/>
          <w:color w:val="auto"/>
          <w:kern w:val="1"/>
          <w:u w:val="none"/>
        </w:rPr>
        <w:t>工程BOT项目竣工环境保护验收监测报告》并通过验收。</w:t>
      </w:r>
    </w:p>
    <w:p w14:paraId="20094271">
      <w:pPr>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u w:val="none"/>
          <w:lang w:val="en-US" w:eastAsia="zh-CN"/>
        </w:rPr>
        <w:t>2022年2月</w:t>
      </w:r>
      <w:r>
        <w:rPr>
          <w:rFonts w:hint="default" w:ascii="Times New Roman" w:hAnsi="Times New Roman" w:eastAsia="宋体" w:cs="Times New Roman"/>
          <w:color w:val="auto"/>
          <w:spacing w:val="-12"/>
          <w:sz w:val="24"/>
          <w:szCs w:val="24"/>
        </w:rPr>
        <w:t>，</w:t>
      </w:r>
      <w:r>
        <w:rPr>
          <w:rFonts w:hint="default" w:ascii="Times New Roman" w:hAnsi="Times New Roman" w:cs="Times New Roman"/>
          <w:color w:val="auto"/>
          <w:spacing w:val="-12"/>
          <w:sz w:val="24"/>
          <w:szCs w:val="24"/>
          <w:lang w:val="en-US" w:eastAsia="zh-CN"/>
        </w:rPr>
        <w:t>我单位</w:t>
      </w:r>
      <w:r>
        <w:rPr>
          <w:rFonts w:hint="default" w:ascii="Times New Roman" w:hAnsi="Times New Roman" w:cs="Times New Roman"/>
          <w:color w:val="auto"/>
          <w:u w:val="none"/>
        </w:rPr>
        <w:t>新增1条100t/d飞灰处理设备</w:t>
      </w:r>
      <w:r>
        <w:rPr>
          <w:rFonts w:hint="default" w:ascii="Times New Roman" w:hAnsi="Times New Roman" w:cs="Times New Roman"/>
          <w:color w:val="auto"/>
          <w:u w:val="none"/>
          <w:lang w:eastAsia="zh-CN"/>
        </w:rPr>
        <w:t>（</w:t>
      </w:r>
      <w:r>
        <w:rPr>
          <w:rFonts w:hint="default" w:ascii="Times New Roman" w:hAnsi="Times New Roman" w:cs="Times New Roman"/>
          <w:color w:val="auto"/>
          <w:u w:val="none"/>
          <w:lang w:val="en-US" w:eastAsia="zh-CN"/>
        </w:rPr>
        <w:t>本报告简称2#飞灰处理设备</w:t>
      </w:r>
      <w:r>
        <w:rPr>
          <w:rFonts w:hint="default" w:ascii="Times New Roman" w:hAnsi="Times New Roman" w:cs="Times New Roman"/>
          <w:color w:val="auto"/>
          <w:u w:val="none"/>
          <w:lang w:eastAsia="zh-CN"/>
        </w:rPr>
        <w:t>）</w:t>
      </w:r>
      <w:r>
        <w:rPr>
          <w:rFonts w:hint="eastAsia" w:cs="Times New Roman"/>
          <w:color w:val="auto"/>
          <w:u w:val="none"/>
          <w:lang w:eastAsia="zh-CN"/>
        </w:rPr>
        <w:t>，</w:t>
      </w:r>
      <w:r>
        <w:rPr>
          <w:rFonts w:hint="eastAsia" w:cs="Times New Roman"/>
          <w:color w:val="auto"/>
          <w:u w:val="none"/>
          <w:lang w:val="en-US" w:eastAsia="zh-CN"/>
        </w:rPr>
        <w:t>扩建后</w:t>
      </w:r>
      <w:r>
        <w:rPr>
          <w:rFonts w:hint="default" w:ascii="Times New Roman" w:hAnsi="Times New Roman" w:cs="Times New Roman"/>
          <w:color w:val="auto"/>
          <w:u w:val="none"/>
        </w:rPr>
        <w:t>全厂飞灰处理规模达200t/d（</w:t>
      </w:r>
      <w:r>
        <w:rPr>
          <w:rFonts w:hint="default" w:ascii="Times New Roman" w:hAnsi="Times New Roman" w:cs="Times New Roman"/>
          <w:color w:val="auto"/>
          <w:u w:val="none"/>
          <w:lang w:val="en-US" w:eastAsia="zh-CN"/>
        </w:rPr>
        <w:t>两条50t/d的备用生产线</w:t>
      </w:r>
      <w:r>
        <w:rPr>
          <w:rFonts w:hint="eastAsia" w:cs="Times New Roman"/>
          <w:color w:val="auto"/>
          <w:u w:val="none"/>
          <w:lang w:val="en-US" w:eastAsia="zh-CN"/>
        </w:rPr>
        <w:t>进行升级改造</w:t>
      </w:r>
      <w:r>
        <w:rPr>
          <w:rFonts w:hint="default" w:ascii="Times New Roman" w:hAnsi="Times New Roman" w:cs="Times New Roman"/>
          <w:color w:val="auto"/>
          <w:u w:val="none"/>
        </w:rPr>
        <w:t>）</w:t>
      </w:r>
      <w:r>
        <w:rPr>
          <w:rFonts w:hint="default" w:ascii="Times New Roman" w:hAnsi="Times New Roman" w:cs="Times New Roman"/>
          <w:color w:val="auto"/>
          <w:u w:val="none"/>
          <w:lang w:eastAsia="zh-CN"/>
        </w:rPr>
        <w:t>，</w:t>
      </w:r>
      <w:r>
        <w:rPr>
          <w:rFonts w:hint="default" w:ascii="Times New Roman" w:hAnsi="Times New Roman" w:cs="Times New Roman"/>
          <w:color w:val="auto"/>
          <w:spacing w:val="-3"/>
          <w:sz w:val="24"/>
          <w:szCs w:val="24"/>
          <w:lang w:val="en-US" w:eastAsia="zh-CN"/>
        </w:rPr>
        <w:t>委托</w:t>
      </w:r>
      <w:r>
        <w:rPr>
          <w:rFonts w:hint="default" w:ascii="Times New Roman" w:hAnsi="Times New Roman" w:eastAsia="宋体" w:cs="Times New Roman"/>
          <w:color w:val="auto"/>
          <w:spacing w:val="-3"/>
          <w:sz w:val="24"/>
          <w:szCs w:val="24"/>
        </w:rPr>
        <w:t>福建省环境保护股份</w:t>
      </w:r>
      <w:r>
        <w:rPr>
          <w:rFonts w:hint="default" w:ascii="Times New Roman" w:hAnsi="Times New Roman" w:eastAsia="宋体" w:cs="Times New Roman"/>
          <w:color w:val="auto"/>
          <w:sz w:val="24"/>
          <w:szCs w:val="24"/>
        </w:rPr>
        <w:t>公司编制完成了《</w:t>
      </w:r>
      <w:r>
        <w:rPr>
          <w:rFonts w:hint="default" w:ascii="Times New Roman" w:hAnsi="Times New Roman" w:cs="Times New Roman"/>
          <w:color w:val="auto"/>
          <w:spacing w:val="-1"/>
          <w:sz w:val="24"/>
          <w:szCs w:val="24"/>
          <w:lang w:val="en-US" w:eastAsia="zh-CN"/>
        </w:rPr>
        <w:t>福州市红庙岭垃圾焚烧发电飞灰稳定化预处理扩建工程BOT项目（二期）</w:t>
      </w:r>
      <w:r>
        <w:rPr>
          <w:rFonts w:hint="default" w:ascii="Times New Roman" w:hAnsi="Times New Roman" w:eastAsia="宋体" w:cs="Times New Roman"/>
          <w:color w:val="auto"/>
          <w:spacing w:val="-6"/>
          <w:sz w:val="24"/>
          <w:szCs w:val="24"/>
        </w:rPr>
        <w:t>环境影响报告书》</w:t>
      </w:r>
      <w:r>
        <w:rPr>
          <w:rFonts w:hint="default" w:ascii="Times New Roman" w:hAnsi="Times New Roman" w:cs="Times New Roman"/>
          <w:color w:val="auto"/>
          <w:spacing w:val="-6"/>
          <w:sz w:val="24"/>
          <w:szCs w:val="24"/>
          <w:lang w:eastAsia="zh-CN"/>
        </w:rPr>
        <w:t>，</w:t>
      </w:r>
      <w:r>
        <w:rPr>
          <w:rFonts w:hint="default" w:ascii="Times New Roman" w:hAnsi="Times New Roman" w:cs="Times New Roman"/>
          <w:color w:val="auto"/>
          <w:spacing w:val="-6"/>
          <w:sz w:val="24"/>
          <w:szCs w:val="24"/>
          <w:lang w:val="en-US" w:eastAsia="zh-CN"/>
        </w:rPr>
        <w:t>于</w:t>
      </w:r>
      <w:r>
        <w:rPr>
          <w:rFonts w:hint="default" w:ascii="Times New Roman" w:hAnsi="Times New Roman" w:eastAsia="Times New Roman" w:cs="Times New Roman"/>
          <w:color w:val="auto"/>
          <w:spacing w:val="-6"/>
          <w:sz w:val="24"/>
          <w:szCs w:val="24"/>
        </w:rPr>
        <w:t>20</w:t>
      </w:r>
      <w:r>
        <w:rPr>
          <w:rFonts w:hint="default" w:ascii="Times New Roman" w:hAnsi="Times New Roman" w:eastAsia="宋体" w:cs="Times New Roman"/>
          <w:color w:val="auto"/>
          <w:spacing w:val="-6"/>
          <w:sz w:val="24"/>
          <w:szCs w:val="24"/>
          <w:lang w:val="en-US" w:eastAsia="zh-CN"/>
        </w:rPr>
        <w:t>22</w:t>
      </w:r>
      <w:r>
        <w:rPr>
          <w:rFonts w:hint="default" w:ascii="Times New Roman" w:hAnsi="Times New Roman" w:eastAsia="宋体" w:cs="Times New Roman"/>
          <w:color w:val="auto"/>
          <w:spacing w:val="-6"/>
          <w:sz w:val="24"/>
          <w:szCs w:val="24"/>
        </w:rPr>
        <w:t>年</w:t>
      </w:r>
      <w:r>
        <w:rPr>
          <w:rFonts w:hint="default" w:ascii="Times New Roman" w:hAnsi="Times New Roman" w:eastAsia="宋体" w:cs="Times New Roman"/>
          <w:color w:val="auto"/>
          <w:spacing w:val="-6"/>
          <w:sz w:val="24"/>
          <w:szCs w:val="24"/>
          <w:lang w:val="en-US" w:eastAsia="zh-CN"/>
        </w:rPr>
        <w:t>3</w:t>
      </w:r>
      <w:r>
        <w:rPr>
          <w:rFonts w:hint="default" w:ascii="Times New Roman" w:hAnsi="Times New Roman" w:eastAsia="宋体" w:cs="Times New Roman"/>
          <w:color w:val="auto"/>
          <w:spacing w:val="-6"/>
          <w:sz w:val="24"/>
          <w:szCs w:val="24"/>
        </w:rPr>
        <w:t>月</w:t>
      </w:r>
      <w:r>
        <w:rPr>
          <w:rFonts w:hint="default" w:ascii="Times New Roman" w:hAnsi="Times New Roman" w:cs="Times New Roman"/>
          <w:color w:val="auto"/>
          <w:spacing w:val="-6"/>
          <w:sz w:val="24"/>
          <w:szCs w:val="24"/>
          <w:lang w:val="en-US" w:eastAsia="zh-CN"/>
        </w:rPr>
        <w:t>取得了福州市生态环境局批复</w:t>
      </w:r>
      <w:r>
        <w:rPr>
          <w:rFonts w:hint="default" w:ascii="Times New Roman" w:hAnsi="Times New Roman" w:eastAsia="宋体" w:cs="Times New Roman"/>
          <w:color w:val="auto"/>
          <w:spacing w:val="-1"/>
          <w:sz w:val="24"/>
          <w:szCs w:val="24"/>
        </w:rPr>
        <w:t>（</w:t>
      </w:r>
      <w:r>
        <w:rPr>
          <w:rFonts w:hint="default" w:ascii="Times New Roman" w:hAnsi="Times New Roman" w:cs="Times New Roman"/>
          <w:color w:val="auto"/>
          <w:spacing w:val="-1"/>
          <w:sz w:val="24"/>
          <w:szCs w:val="24"/>
          <w:lang w:val="en-US" w:eastAsia="zh-CN"/>
        </w:rPr>
        <w:t>批复号：</w:t>
      </w:r>
      <w:r>
        <w:rPr>
          <w:rFonts w:hint="default" w:ascii="Times New Roman" w:hAnsi="Times New Roman" w:cs="Times New Roman"/>
          <w:color w:val="auto"/>
          <w:spacing w:val="-1"/>
          <w:sz w:val="24"/>
          <w:szCs w:val="24"/>
          <w:lang w:eastAsia="zh-CN"/>
        </w:rPr>
        <w:t>榕环评〔2022〕7号</w:t>
      </w:r>
      <w:r>
        <w:rPr>
          <w:rFonts w:hint="default" w:ascii="Times New Roman" w:hAnsi="Times New Roman" w:eastAsia="宋体" w:cs="Times New Roman"/>
          <w:color w:val="auto"/>
          <w:spacing w:val="19"/>
          <w:sz w:val="24"/>
          <w:szCs w:val="24"/>
        </w:rPr>
        <w:t>）</w:t>
      </w:r>
      <w:r>
        <w:rPr>
          <w:rFonts w:hint="default" w:ascii="Times New Roman" w:hAnsi="Times New Roman" w:cs="Times New Roman"/>
          <w:color w:val="auto"/>
          <w:spacing w:val="19"/>
          <w:sz w:val="24"/>
          <w:szCs w:val="24"/>
          <w:lang w:eastAsia="zh-CN"/>
        </w:rPr>
        <w:t>（</w:t>
      </w:r>
      <w:r>
        <w:rPr>
          <w:rFonts w:hint="default" w:ascii="Times New Roman" w:hAnsi="Times New Roman" w:cs="Times New Roman"/>
          <w:color w:val="auto"/>
          <w:spacing w:val="19"/>
          <w:sz w:val="24"/>
          <w:szCs w:val="24"/>
          <w:lang w:val="en-US" w:eastAsia="zh-CN"/>
        </w:rPr>
        <w:t>详见附件3</w:t>
      </w:r>
      <w:r>
        <w:rPr>
          <w:rFonts w:hint="default" w:ascii="Times New Roman" w:hAnsi="Times New Roman" w:cs="Times New Roman"/>
          <w:color w:val="auto"/>
          <w:spacing w:val="19"/>
          <w:sz w:val="24"/>
          <w:szCs w:val="24"/>
          <w:lang w:eastAsia="zh-CN"/>
        </w:rPr>
        <w:t>）</w:t>
      </w:r>
      <w:r>
        <w:rPr>
          <w:rFonts w:hint="default" w:ascii="Times New Roman" w:hAnsi="Times New Roman" w:eastAsia="宋体" w:cs="Times New Roman"/>
          <w:color w:val="auto"/>
          <w:spacing w:val="19"/>
          <w:sz w:val="24"/>
          <w:szCs w:val="24"/>
        </w:rPr>
        <w:t>，</w:t>
      </w:r>
      <w:r>
        <w:rPr>
          <w:rFonts w:hint="default" w:ascii="Times New Roman" w:hAnsi="Times New Roman" w:cs="Times New Roman"/>
          <w:color w:val="auto"/>
          <w:spacing w:val="-1"/>
          <w:sz w:val="24"/>
          <w:szCs w:val="24"/>
          <w:highlight w:val="none"/>
          <w:lang w:val="en-US" w:eastAsia="zh-CN"/>
        </w:rPr>
        <w:t>且</w:t>
      </w:r>
      <w:r>
        <w:rPr>
          <w:rFonts w:hint="default" w:ascii="Times New Roman" w:hAnsi="Times New Roman" w:cs="Times New Roman"/>
          <w:color w:val="auto"/>
          <w:spacing w:val="-1"/>
          <w:sz w:val="24"/>
          <w:szCs w:val="24"/>
          <w:lang w:val="en-US" w:eastAsia="zh-CN"/>
        </w:rPr>
        <w:t>于2024年7月3日重新申请取得了排污许可证（</w:t>
      </w:r>
      <w:r>
        <w:rPr>
          <w:rFonts w:hint="default" w:ascii="Times New Roman" w:hAnsi="Times New Roman" w:cs="Times New Roman"/>
          <w:color w:val="auto"/>
          <w:sz w:val="24"/>
        </w:rPr>
        <w:t>证书编号：91350</w:t>
      </w:r>
      <w:r>
        <w:rPr>
          <w:rFonts w:hint="default" w:ascii="Times New Roman" w:hAnsi="Times New Roman" w:cs="Times New Roman"/>
          <w:color w:val="auto"/>
          <w:sz w:val="24"/>
          <w:lang w:val="en-US" w:eastAsia="zh-CN"/>
        </w:rPr>
        <w:t>100687506533J001V</w:t>
      </w:r>
      <w:r>
        <w:rPr>
          <w:rFonts w:hint="default" w:ascii="Times New Roman" w:hAnsi="Times New Roman" w:cs="Times New Roman"/>
          <w:color w:val="auto"/>
          <w:sz w:val="24"/>
        </w:rPr>
        <w:t>，</w:t>
      </w:r>
      <w:r>
        <w:rPr>
          <w:rFonts w:hint="default" w:ascii="Times New Roman" w:hAnsi="Times New Roman" w:cs="Times New Roman"/>
          <w:color w:val="auto"/>
          <w:sz w:val="24"/>
          <w:szCs w:val="22"/>
        </w:rPr>
        <w:t>详见附</w:t>
      </w:r>
      <w:r>
        <w:rPr>
          <w:rFonts w:hint="default" w:ascii="Times New Roman" w:hAnsi="Times New Roman" w:cs="Times New Roman"/>
          <w:color w:val="auto"/>
          <w:sz w:val="24"/>
          <w:szCs w:val="22"/>
          <w:highlight w:val="none"/>
        </w:rPr>
        <w:t>件</w:t>
      </w:r>
      <w:r>
        <w:rPr>
          <w:rFonts w:hint="default" w:ascii="Times New Roman" w:hAnsi="Times New Roman" w:cs="Times New Roman"/>
          <w:color w:val="auto"/>
          <w:sz w:val="24"/>
          <w:szCs w:val="22"/>
          <w:highlight w:val="none"/>
          <w:lang w:val="en-US" w:eastAsia="zh-CN"/>
        </w:rPr>
        <w:t>2</w:t>
      </w:r>
      <w:r>
        <w:rPr>
          <w:rFonts w:hint="default" w:ascii="Times New Roman" w:hAnsi="Times New Roman" w:cs="Times New Roman"/>
          <w:color w:val="auto"/>
          <w:spacing w:val="-1"/>
          <w:sz w:val="24"/>
          <w:szCs w:val="24"/>
          <w:highlight w:val="none"/>
          <w:lang w:val="en-US" w:eastAsia="zh-CN"/>
        </w:rPr>
        <w:t>）</w:t>
      </w:r>
      <w:r>
        <w:rPr>
          <w:rFonts w:hint="default" w:ascii="Times New Roman" w:hAnsi="Times New Roman" w:cs="Times New Roman"/>
          <w:color w:val="auto"/>
          <w:spacing w:val="-1"/>
          <w:sz w:val="24"/>
          <w:szCs w:val="24"/>
          <w:highlight w:val="none"/>
          <w:lang w:eastAsia="zh-CN"/>
        </w:rPr>
        <w:t>，</w:t>
      </w:r>
      <w:r>
        <w:rPr>
          <w:rFonts w:hint="default" w:ascii="Times New Roman" w:hAnsi="Times New Roman" w:cs="Times New Roman"/>
          <w:color w:val="auto"/>
          <w:u w:val="none"/>
          <w:lang w:val="en-US" w:eastAsia="zh-CN"/>
        </w:rPr>
        <w:t>2#飞灰处理设备已于</w:t>
      </w:r>
      <w:r>
        <w:rPr>
          <w:rFonts w:hint="default" w:ascii="Times New Roman" w:hAnsi="Times New Roman" w:eastAsia="Times New Roman" w:cs="Times New Roman"/>
          <w:color w:val="auto"/>
          <w:spacing w:val="-1"/>
          <w:sz w:val="24"/>
          <w:szCs w:val="24"/>
          <w:highlight w:val="none"/>
        </w:rPr>
        <w:t>20</w:t>
      </w:r>
      <w:r>
        <w:rPr>
          <w:rFonts w:hint="default" w:ascii="Times New Roman" w:hAnsi="Times New Roman" w:eastAsia="宋体" w:cs="Times New Roman"/>
          <w:color w:val="auto"/>
          <w:spacing w:val="-1"/>
          <w:sz w:val="24"/>
          <w:szCs w:val="24"/>
          <w:highlight w:val="none"/>
          <w:lang w:val="en-US" w:eastAsia="zh-CN"/>
        </w:rPr>
        <w:t>2</w:t>
      </w:r>
      <w:r>
        <w:rPr>
          <w:rFonts w:hint="default" w:ascii="Times New Roman" w:hAnsi="Times New Roman" w:cs="Times New Roman"/>
          <w:color w:val="auto"/>
          <w:spacing w:val="-1"/>
          <w:sz w:val="24"/>
          <w:szCs w:val="24"/>
          <w:highlight w:val="none"/>
          <w:lang w:val="en-US" w:eastAsia="zh-CN"/>
        </w:rPr>
        <w:t>2</w:t>
      </w:r>
      <w:r>
        <w:rPr>
          <w:rFonts w:hint="default" w:ascii="Times New Roman" w:hAnsi="Times New Roman" w:eastAsia="宋体" w:cs="Times New Roman"/>
          <w:color w:val="auto"/>
          <w:spacing w:val="-1"/>
          <w:sz w:val="24"/>
          <w:szCs w:val="24"/>
          <w:highlight w:val="none"/>
        </w:rPr>
        <w:t>年</w:t>
      </w:r>
      <w:r>
        <w:rPr>
          <w:rFonts w:hint="default" w:ascii="Times New Roman" w:hAnsi="Times New Roman" w:cs="Times New Roman"/>
          <w:color w:val="auto"/>
          <w:spacing w:val="-1"/>
          <w:sz w:val="24"/>
          <w:szCs w:val="24"/>
          <w:highlight w:val="none"/>
          <w:lang w:val="en-US" w:eastAsia="zh-CN"/>
        </w:rPr>
        <w:t>2</w:t>
      </w:r>
      <w:r>
        <w:rPr>
          <w:rFonts w:hint="default" w:ascii="Times New Roman" w:hAnsi="Times New Roman" w:eastAsia="宋体" w:cs="Times New Roman"/>
          <w:color w:val="auto"/>
          <w:spacing w:val="-1"/>
          <w:sz w:val="24"/>
          <w:szCs w:val="24"/>
          <w:highlight w:val="none"/>
        </w:rPr>
        <w:t>月</w:t>
      </w:r>
      <w:r>
        <w:rPr>
          <w:rFonts w:hint="default" w:ascii="Times New Roman" w:hAnsi="Times New Roman" w:cs="Times New Roman"/>
          <w:color w:val="auto"/>
          <w:spacing w:val="-1"/>
          <w:sz w:val="24"/>
          <w:szCs w:val="24"/>
          <w:highlight w:val="none"/>
          <w:lang w:val="en-US" w:eastAsia="zh-CN"/>
        </w:rPr>
        <w:t>建成投产</w:t>
      </w:r>
      <w:r>
        <w:rPr>
          <w:rFonts w:hint="default" w:ascii="Times New Roman" w:hAnsi="Times New Roman" w:cs="Times New Roman"/>
          <w:color w:val="auto"/>
          <w:spacing w:val="-1"/>
          <w:sz w:val="24"/>
          <w:szCs w:val="24"/>
          <w:lang w:val="en-US" w:eastAsia="zh-CN"/>
        </w:rPr>
        <w:t>，</w:t>
      </w:r>
      <w:r>
        <w:rPr>
          <w:rFonts w:hint="default" w:ascii="Times New Roman" w:hAnsi="Times New Roman" w:cs="Times New Roman"/>
          <w:color w:val="auto"/>
          <w:u w:val="none"/>
        </w:rPr>
        <w:t>2条50t/d备用生产线</w:t>
      </w:r>
      <w:r>
        <w:rPr>
          <w:rFonts w:hint="default" w:ascii="Times New Roman" w:hAnsi="Times New Roman" w:cs="Times New Roman"/>
          <w:color w:val="auto"/>
          <w:u w:val="none"/>
          <w:lang w:val="en-US" w:eastAsia="zh-CN"/>
        </w:rPr>
        <w:t>尚未完成</w:t>
      </w:r>
      <w:r>
        <w:rPr>
          <w:rFonts w:hint="default" w:ascii="Times New Roman" w:hAnsi="Times New Roman" w:cs="Times New Roman"/>
          <w:color w:val="auto"/>
          <w:u w:val="none"/>
        </w:rPr>
        <w:t>升级改造</w:t>
      </w:r>
      <w:r>
        <w:rPr>
          <w:rFonts w:hint="default" w:ascii="Times New Roman" w:hAnsi="Times New Roman" w:cs="Times New Roman"/>
          <w:color w:val="auto"/>
          <w:u w:val="none"/>
          <w:lang w:eastAsia="zh-CN"/>
        </w:rPr>
        <w:t>，</w:t>
      </w:r>
      <w:r>
        <w:rPr>
          <w:rFonts w:hint="default" w:ascii="Times New Roman" w:hAnsi="Times New Roman" w:cs="Times New Roman"/>
          <w:color w:val="auto"/>
          <w:u w:val="none"/>
          <w:lang w:val="en-US" w:eastAsia="zh-CN"/>
        </w:rPr>
        <w:t>因此，我单位决定对已建成的2#生产线进行</w:t>
      </w:r>
      <w:r>
        <w:rPr>
          <w:rFonts w:hint="eastAsia" w:cs="Times New Roman"/>
          <w:color w:val="auto"/>
          <w:u w:val="none"/>
          <w:lang w:val="en-US" w:eastAsia="zh-CN"/>
        </w:rPr>
        <w:t>阶段性</w:t>
      </w:r>
      <w:r>
        <w:rPr>
          <w:rFonts w:hint="default" w:ascii="Times New Roman" w:hAnsi="Times New Roman" w:cs="Times New Roman"/>
          <w:color w:val="auto"/>
          <w:u w:val="none"/>
          <w:lang w:val="en-US" w:eastAsia="zh-CN"/>
        </w:rPr>
        <w:t>竣工环境保护验收</w:t>
      </w:r>
      <w:r>
        <w:rPr>
          <w:rFonts w:hint="default" w:ascii="Times New Roman" w:hAnsi="Times New Roman" w:eastAsia="宋体" w:cs="Times New Roman"/>
          <w:color w:val="auto"/>
          <w:spacing w:val="-8"/>
          <w:sz w:val="24"/>
          <w:szCs w:val="24"/>
        </w:rPr>
        <w:t>。</w:t>
      </w:r>
    </w:p>
    <w:p w14:paraId="3170A937">
      <w:pPr>
        <w:pStyle w:val="3"/>
        <w:bidi w:val="0"/>
        <w:rPr>
          <w:rFonts w:hint="default"/>
          <w:color w:val="auto"/>
          <w:lang w:eastAsia="zh-CN"/>
        </w:rPr>
      </w:pPr>
      <w:bookmarkStart w:id="7" w:name="_Toc32686"/>
      <w:r>
        <w:rPr>
          <w:rFonts w:hint="default"/>
          <w:color w:val="auto"/>
          <w:lang w:val="en-US" w:eastAsia="zh-CN"/>
        </w:rPr>
        <w:t>1.2验收工作概况</w:t>
      </w:r>
      <w:bookmarkEnd w:id="7"/>
    </w:p>
    <w:p w14:paraId="22B2C58C">
      <w:pPr>
        <w:rPr>
          <w:rFonts w:hint="default" w:ascii="Times New Roman" w:hAnsi="Times New Roman" w:eastAsia="宋体" w:cs="Times New Roman"/>
          <w:color w:val="auto"/>
          <w:spacing w:val="1"/>
          <w:sz w:val="24"/>
          <w:szCs w:val="24"/>
          <w:lang w:val="en-US" w:eastAsia="zh-CN"/>
        </w:rPr>
      </w:pPr>
      <w:r>
        <w:rPr>
          <w:rFonts w:hint="default" w:ascii="Times New Roman" w:hAnsi="Times New Roman" w:eastAsia="宋体" w:cs="Times New Roman"/>
          <w:color w:val="auto"/>
          <w:spacing w:val="1"/>
          <w:sz w:val="24"/>
          <w:szCs w:val="24"/>
          <w:lang w:val="en-US" w:eastAsia="zh-CN"/>
        </w:rPr>
        <w:t>根据《中华人民共和国环境保护法》、《建设项目环境</w:t>
      </w:r>
      <w:r>
        <w:rPr>
          <w:rFonts w:hint="eastAsia" w:cs="Times New Roman"/>
          <w:color w:val="auto"/>
          <w:spacing w:val="1"/>
          <w:sz w:val="24"/>
          <w:szCs w:val="24"/>
          <w:lang w:val="en-US" w:eastAsia="zh-CN"/>
        </w:rPr>
        <w:t>保护</w:t>
      </w:r>
      <w:r>
        <w:rPr>
          <w:rFonts w:hint="default" w:ascii="Times New Roman" w:hAnsi="Times New Roman" w:eastAsia="宋体" w:cs="Times New Roman"/>
          <w:color w:val="auto"/>
          <w:spacing w:val="1"/>
          <w:sz w:val="24"/>
          <w:szCs w:val="24"/>
          <w:lang w:val="en-US" w:eastAsia="zh-CN"/>
        </w:rPr>
        <w:t>管理条例》及《建设项目竣工环境保护验收管理办法》等有关规定，按照环境保护设施与主体工程同时设计、同时施工、同时投入使用的</w:t>
      </w:r>
      <w:r>
        <w:rPr>
          <w:rFonts w:hint="eastAsia" w:cs="Times New Roman"/>
          <w:color w:val="auto"/>
          <w:spacing w:val="1"/>
          <w:sz w:val="24"/>
          <w:szCs w:val="24"/>
          <w:lang w:val="en-US" w:eastAsia="zh-CN"/>
        </w:rPr>
        <w:t>“</w:t>
      </w:r>
      <w:r>
        <w:rPr>
          <w:rFonts w:hint="default" w:ascii="Times New Roman" w:hAnsi="Times New Roman" w:eastAsia="宋体" w:cs="Times New Roman"/>
          <w:color w:val="auto"/>
          <w:spacing w:val="1"/>
          <w:sz w:val="24"/>
          <w:szCs w:val="24"/>
          <w:lang w:val="en-US" w:eastAsia="zh-CN"/>
        </w:rPr>
        <w:t>三同时</w:t>
      </w:r>
      <w:r>
        <w:rPr>
          <w:rFonts w:hint="eastAsia" w:cs="Times New Roman"/>
          <w:color w:val="auto"/>
          <w:spacing w:val="1"/>
          <w:sz w:val="24"/>
          <w:szCs w:val="24"/>
          <w:lang w:val="en-US" w:eastAsia="zh-CN"/>
        </w:rPr>
        <w:t>”</w:t>
      </w:r>
      <w:r>
        <w:rPr>
          <w:rFonts w:hint="default" w:ascii="Times New Roman" w:hAnsi="Times New Roman" w:eastAsia="宋体" w:cs="Times New Roman"/>
          <w:color w:val="auto"/>
          <w:spacing w:val="1"/>
          <w:sz w:val="24"/>
          <w:szCs w:val="24"/>
          <w:lang w:val="en-US" w:eastAsia="zh-CN"/>
        </w:rPr>
        <w:t>制度要求，本单位在项目符合验收要求后，组织成立验收工作组，对该项目的环保设施建设、运行状况、环境保护管理等相关内容进行现场踏勘，并收集相关资料，在此基础上于202</w:t>
      </w:r>
      <w:r>
        <w:rPr>
          <w:rFonts w:hint="eastAsia" w:cs="Times New Roman"/>
          <w:color w:val="auto"/>
          <w:spacing w:val="1"/>
          <w:sz w:val="24"/>
          <w:szCs w:val="24"/>
          <w:lang w:val="en-US" w:eastAsia="zh-CN"/>
        </w:rPr>
        <w:t>4</w:t>
      </w:r>
      <w:r>
        <w:rPr>
          <w:rFonts w:hint="default" w:ascii="Times New Roman" w:hAnsi="Times New Roman" w:eastAsia="宋体" w:cs="Times New Roman"/>
          <w:color w:val="auto"/>
          <w:spacing w:val="1"/>
          <w:sz w:val="24"/>
          <w:szCs w:val="24"/>
          <w:lang w:val="en-US" w:eastAsia="zh-CN"/>
        </w:rPr>
        <w:t>年</w:t>
      </w:r>
      <w:r>
        <w:rPr>
          <w:rFonts w:hint="eastAsia" w:cs="Times New Roman"/>
          <w:color w:val="auto"/>
          <w:spacing w:val="1"/>
          <w:sz w:val="24"/>
          <w:szCs w:val="24"/>
          <w:lang w:val="en-US" w:eastAsia="zh-CN"/>
        </w:rPr>
        <w:t>8</w:t>
      </w:r>
      <w:r>
        <w:rPr>
          <w:rFonts w:hint="default" w:ascii="Times New Roman" w:hAnsi="Times New Roman" w:eastAsia="宋体" w:cs="Times New Roman"/>
          <w:color w:val="auto"/>
          <w:spacing w:val="1"/>
          <w:sz w:val="24"/>
          <w:szCs w:val="24"/>
          <w:lang w:val="en-US" w:eastAsia="zh-CN"/>
        </w:rPr>
        <w:t>月编制验收监测方案。</w:t>
      </w:r>
    </w:p>
    <w:p w14:paraId="3CBD8668">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pacing w:val="1"/>
          <w:sz w:val="24"/>
          <w:szCs w:val="24"/>
          <w:lang w:val="en-US" w:eastAsia="zh-CN"/>
        </w:rPr>
        <w:t>根据验收监测方案的工作内容，委托</w:t>
      </w:r>
      <w:r>
        <w:rPr>
          <w:rFonts w:hint="default" w:ascii="Times New Roman" w:hAnsi="Times New Roman" w:eastAsia="宋体" w:cs="Times New Roman"/>
          <w:color w:val="auto"/>
          <w:spacing w:val="4"/>
          <w:sz w:val="24"/>
          <w:szCs w:val="24"/>
          <w:lang w:val="en-US" w:eastAsia="zh-CN"/>
        </w:rPr>
        <w:t>福建中凯检测技术有限公司</w:t>
      </w:r>
      <w:r>
        <w:rPr>
          <w:rFonts w:hint="default" w:ascii="Times New Roman" w:hAnsi="Times New Roman" w:eastAsia="宋体" w:cs="Times New Roman"/>
          <w:color w:val="auto"/>
          <w:spacing w:val="1"/>
          <w:sz w:val="24"/>
          <w:szCs w:val="24"/>
          <w:lang w:val="en-US" w:eastAsia="zh-CN"/>
        </w:rPr>
        <w:t>于202</w:t>
      </w:r>
      <w:r>
        <w:rPr>
          <w:rFonts w:hint="eastAsia" w:cs="Times New Roman"/>
          <w:color w:val="auto"/>
          <w:spacing w:val="1"/>
          <w:sz w:val="24"/>
          <w:szCs w:val="24"/>
          <w:lang w:val="en-US" w:eastAsia="zh-CN"/>
        </w:rPr>
        <w:t>4</w:t>
      </w:r>
      <w:r>
        <w:rPr>
          <w:rFonts w:hint="default" w:ascii="Times New Roman" w:hAnsi="Times New Roman" w:eastAsia="宋体" w:cs="Times New Roman"/>
          <w:color w:val="auto"/>
          <w:spacing w:val="1"/>
          <w:sz w:val="24"/>
          <w:szCs w:val="24"/>
          <w:lang w:val="en-US" w:eastAsia="zh-CN"/>
        </w:rPr>
        <w:t>年</w:t>
      </w:r>
      <w:r>
        <w:rPr>
          <w:rFonts w:hint="eastAsia" w:cs="Times New Roman"/>
          <w:color w:val="auto"/>
          <w:spacing w:val="1"/>
          <w:sz w:val="24"/>
          <w:szCs w:val="24"/>
          <w:lang w:val="en-US" w:eastAsia="zh-CN"/>
        </w:rPr>
        <w:t>9</w:t>
      </w:r>
      <w:r>
        <w:rPr>
          <w:rFonts w:hint="default" w:ascii="Times New Roman" w:hAnsi="Times New Roman" w:eastAsia="宋体" w:cs="Times New Roman"/>
          <w:color w:val="auto"/>
          <w:spacing w:val="1"/>
          <w:sz w:val="24"/>
          <w:szCs w:val="24"/>
          <w:lang w:val="en-US" w:eastAsia="zh-CN"/>
        </w:rPr>
        <w:t>月</w:t>
      </w:r>
      <w:r>
        <w:rPr>
          <w:rFonts w:hint="eastAsia" w:cs="Times New Roman"/>
          <w:color w:val="auto"/>
          <w:spacing w:val="1"/>
          <w:sz w:val="24"/>
          <w:szCs w:val="24"/>
          <w:lang w:val="en-US" w:eastAsia="zh-CN"/>
        </w:rPr>
        <w:t>4</w:t>
      </w:r>
      <w:r>
        <w:rPr>
          <w:rFonts w:hint="default" w:ascii="Times New Roman" w:hAnsi="Times New Roman" w:eastAsia="宋体" w:cs="Times New Roman"/>
          <w:color w:val="auto"/>
          <w:spacing w:val="1"/>
          <w:sz w:val="24"/>
          <w:szCs w:val="24"/>
          <w:lang w:val="en-US" w:eastAsia="zh-CN"/>
        </w:rPr>
        <w:t>日-</w:t>
      </w:r>
      <w:r>
        <w:rPr>
          <w:rFonts w:hint="eastAsia" w:cs="Times New Roman"/>
          <w:color w:val="auto"/>
          <w:spacing w:val="1"/>
          <w:sz w:val="24"/>
          <w:szCs w:val="24"/>
          <w:lang w:val="en-US" w:eastAsia="zh-CN"/>
        </w:rPr>
        <w:t>5</w:t>
      </w:r>
      <w:r>
        <w:rPr>
          <w:rFonts w:hint="default" w:ascii="Times New Roman" w:hAnsi="Times New Roman" w:eastAsia="宋体" w:cs="Times New Roman"/>
          <w:color w:val="auto"/>
          <w:spacing w:val="1"/>
          <w:sz w:val="24"/>
          <w:szCs w:val="24"/>
          <w:lang w:val="en-US" w:eastAsia="zh-CN"/>
        </w:rPr>
        <w:t>日进行环保验收监测，结合环评报告及其批复，对照相关标准，对查验和监测结果进行整理、分析，最终形成了本项目竣工环境保护验收监测报告，为环境管理提供依据。</w:t>
      </w:r>
    </w:p>
    <w:p w14:paraId="2593B21D">
      <w:pPr>
        <w:pStyle w:val="2"/>
        <w:bidi w:val="0"/>
        <w:rPr>
          <w:rFonts w:hint="default" w:ascii="Times New Roman" w:hAnsi="Times New Roman" w:cs="Times New Roman"/>
          <w:color w:val="auto"/>
        </w:rPr>
      </w:pPr>
      <w:bookmarkStart w:id="8" w:name="_Toc13911"/>
      <w:r>
        <w:rPr>
          <w:rFonts w:hint="default" w:ascii="Times New Roman" w:hAnsi="Times New Roman" w:cs="Times New Roman"/>
          <w:color w:val="auto"/>
        </w:rPr>
        <w:t>2验收依据</w:t>
      </w:r>
      <w:bookmarkEnd w:id="8"/>
    </w:p>
    <w:p w14:paraId="55D4BB76">
      <w:pPr>
        <w:pStyle w:val="3"/>
        <w:bidi w:val="0"/>
        <w:rPr>
          <w:rFonts w:hint="default" w:ascii="Times New Roman" w:hAnsi="Times New Roman" w:cs="Times New Roman"/>
          <w:color w:val="auto"/>
        </w:rPr>
      </w:pPr>
      <w:bookmarkStart w:id="9" w:name="_Toc29484"/>
      <w:r>
        <w:rPr>
          <w:rFonts w:hint="default" w:ascii="Times New Roman" w:hAnsi="Times New Roman" w:cs="Times New Roman"/>
          <w:color w:val="auto"/>
        </w:rPr>
        <w:t>2.1建设项目环境保护相关法律、法规和规章制度</w:t>
      </w:r>
      <w:bookmarkEnd w:id="9"/>
    </w:p>
    <w:p w14:paraId="5A8E6F47">
      <w:pPr>
        <w:keepNext w:val="0"/>
        <w:keepLines w:val="0"/>
        <w:widowControl/>
        <w:suppressLineNumbers w:val="0"/>
        <w:spacing w:beforeLines="0" w:afterLines="0" w:line="360" w:lineRule="auto"/>
        <w:ind w:firstLine="480" w:firstLineChars="200"/>
        <w:jc w:val="left"/>
        <w:rPr>
          <w:rFonts w:hint="default" w:ascii="Times New Roman" w:hAnsi="Times New Roman" w:cs="Times New Roman"/>
          <w:color w:val="auto"/>
        </w:rPr>
      </w:pPr>
      <w:r>
        <w:rPr>
          <w:rFonts w:hint="default" w:ascii="Times New Roman" w:hAnsi="Times New Roman" w:eastAsia="宋体" w:cs="Times New Roman"/>
          <w:b w:val="0"/>
          <w:bCs w:val="0"/>
          <w:snapToGrid w:val="0"/>
          <w:color w:val="auto"/>
          <w:kern w:val="0"/>
          <w:sz w:val="24"/>
          <w:szCs w:val="24"/>
          <w:lang w:val="en-US" w:eastAsia="zh-CN" w:bidi="ar"/>
        </w:rPr>
        <w:t>（</w:t>
      </w:r>
      <w:r>
        <w:rPr>
          <w:rFonts w:hint="default" w:ascii="Times New Roman" w:hAnsi="Times New Roman" w:eastAsia="TimesNewRomanPSMT" w:cs="Times New Roman"/>
          <w:b w:val="0"/>
          <w:bCs w:val="0"/>
          <w:snapToGrid w:val="0"/>
          <w:color w:val="auto"/>
          <w:kern w:val="0"/>
          <w:sz w:val="24"/>
          <w:szCs w:val="24"/>
          <w:lang w:val="en-US" w:eastAsia="zh-CN" w:bidi="ar"/>
        </w:rPr>
        <w:t>1</w:t>
      </w:r>
      <w:r>
        <w:rPr>
          <w:rFonts w:hint="default" w:ascii="Times New Roman" w:hAnsi="Times New Roman" w:eastAsia="宋体" w:cs="Times New Roman"/>
          <w:b w:val="0"/>
          <w:bCs w:val="0"/>
          <w:snapToGrid w:val="0"/>
          <w:color w:val="auto"/>
          <w:kern w:val="0"/>
          <w:sz w:val="24"/>
          <w:szCs w:val="24"/>
          <w:lang w:val="en-US" w:eastAsia="zh-CN" w:bidi="ar"/>
        </w:rPr>
        <w:t>）《中华人民共和国环境保护法》（第十二届全国人民代表大会常务委员会第八次会议，</w:t>
      </w:r>
      <w:r>
        <w:rPr>
          <w:rFonts w:hint="default" w:ascii="Times New Roman" w:hAnsi="Times New Roman" w:eastAsia="TimesNewRomanPSMT" w:cs="Times New Roman"/>
          <w:b w:val="0"/>
          <w:bCs w:val="0"/>
          <w:snapToGrid w:val="0"/>
          <w:color w:val="auto"/>
          <w:kern w:val="0"/>
          <w:sz w:val="24"/>
          <w:szCs w:val="24"/>
          <w:lang w:val="en-US" w:eastAsia="zh-CN" w:bidi="ar"/>
        </w:rPr>
        <w:t>2014</w:t>
      </w:r>
      <w:r>
        <w:rPr>
          <w:rFonts w:hint="default" w:ascii="Times New Roman" w:hAnsi="Times New Roman" w:eastAsia="宋体" w:cs="Times New Roman"/>
          <w:b w:val="0"/>
          <w:bCs w:val="0"/>
          <w:snapToGrid w:val="0"/>
          <w:color w:val="auto"/>
          <w:kern w:val="0"/>
          <w:sz w:val="24"/>
          <w:szCs w:val="24"/>
          <w:lang w:val="en-US" w:eastAsia="zh-CN" w:bidi="ar"/>
        </w:rPr>
        <w:t>年</w:t>
      </w:r>
      <w:r>
        <w:rPr>
          <w:rFonts w:hint="default" w:ascii="Times New Roman" w:hAnsi="Times New Roman" w:eastAsia="TimesNewRomanPSMT" w:cs="Times New Roman"/>
          <w:b w:val="0"/>
          <w:bCs w:val="0"/>
          <w:snapToGrid w:val="0"/>
          <w:color w:val="auto"/>
          <w:kern w:val="0"/>
          <w:sz w:val="24"/>
          <w:szCs w:val="24"/>
          <w:lang w:val="en-US" w:eastAsia="zh-CN" w:bidi="ar"/>
        </w:rPr>
        <w:t>4</w:t>
      </w:r>
      <w:r>
        <w:rPr>
          <w:rFonts w:hint="default" w:ascii="Times New Roman" w:hAnsi="Times New Roman" w:eastAsia="宋体" w:cs="Times New Roman"/>
          <w:b w:val="0"/>
          <w:bCs w:val="0"/>
          <w:snapToGrid w:val="0"/>
          <w:color w:val="auto"/>
          <w:kern w:val="0"/>
          <w:sz w:val="24"/>
          <w:szCs w:val="24"/>
          <w:lang w:val="en-US" w:eastAsia="zh-CN" w:bidi="ar"/>
        </w:rPr>
        <w:t>月</w:t>
      </w:r>
      <w:r>
        <w:rPr>
          <w:rFonts w:hint="default" w:ascii="Times New Roman" w:hAnsi="Times New Roman" w:eastAsia="TimesNewRomanPSMT" w:cs="Times New Roman"/>
          <w:b w:val="0"/>
          <w:bCs w:val="0"/>
          <w:snapToGrid w:val="0"/>
          <w:color w:val="auto"/>
          <w:kern w:val="0"/>
          <w:sz w:val="24"/>
          <w:szCs w:val="24"/>
          <w:lang w:val="en-US" w:eastAsia="zh-CN" w:bidi="ar"/>
        </w:rPr>
        <w:t>24</w:t>
      </w:r>
      <w:r>
        <w:rPr>
          <w:rFonts w:hint="default" w:ascii="Times New Roman" w:hAnsi="Times New Roman" w:eastAsia="宋体" w:cs="Times New Roman"/>
          <w:b w:val="0"/>
          <w:bCs w:val="0"/>
          <w:snapToGrid w:val="0"/>
          <w:color w:val="auto"/>
          <w:kern w:val="0"/>
          <w:sz w:val="24"/>
          <w:szCs w:val="24"/>
          <w:lang w:val="en-US" w:eastAsia="zh-CN" w:bidi="ar"/>
        </w:rPr>
        <w:t>日修订，</w:t>
      </w:r>
      <w:r>
        <w:rPr>
          <w:rFonts w:hint="default" w:ascii="Times New Roman" w:hAnsi="Times New Roman" w:eastAsia="TimesNewRomanPSMT" w:cs="Times New Roman"/>
          <w:b w:val="0"/>
          <w:bCs w:val="0"/>
          <w:snapToGrid w:val="0"/>
          <w:color w:val="auto"/>
          <w:kern w:val="0"/>
          <w:sz w:val="24"/>
          <w:szCs w:val="24"/>
          <w:lang w:val="en-US" w:eastAsia="zh-CN" w:bidi="ar"/>
        </w:rPr>
        <w:t>2015</w:t>
      </w:r>
      <w:r>
        <w:rPr>
          <w:rFonts w:hint="default" w:ascii="Times New Roman" w:hAnsi="Times New Roman" w:eastAsia="宋体" w:cs="Times New Roman"/>
          <w:b w:val="0"/>
          <w:bCs w:val="0"/>
          <w:snapToGrid w:val="0"/>
          <w:color w:val="auto"/>
          <w:kern w:val="0"/>
          <w:sz w:val="24"/>
          <w:szCs w:val="24"/>
          <w:lang w:val="en-US" w:eastAsia="zh-CN" w:bidi="ar"/>
        </w:rPr>
        <w:t>年</w:t>
      </w:r>
      <w:r>
        <w:rPr>
          <w:rFonts w:hint="default" w:ascii="Times New Roman" w:hAnsi="Times New Roman" w:eastAsia="TimesNewRomanPSMT" w:cs="Times New Roman"/>
          <w:b w:val="0"/>
          <w:bCs w:val="0"/>
          <w:snapToGrid w:val="0"/>
          <w:color w:val="auto"/>
          <w:kern w:val="0"/>
          <w:sz w:val="24"/>
          <w:szCs w:val="24"/>
          <w:lang w:val="en-US" w:eastAsia="zh-CN" w:bidi="ar"/>
        </w:rPr>
        <w:t>1</w:t>
      </w:r>
      <w:r>
        <w:rPr>
          <w:rFonts w:hint="default" w:ascii="Times New Roman" w:hAnsi="Times New Roman" w:eastAsia="宋体" w:cs="Times New Roman"/>
          <w:b w:val="0"/>
          <w:bCs w:val="0"/>
          <w:snapToGrid w:val="0"/>
          <w:color w:val="auto"/>
          <w:kern w:val="0"/>
          <w:sz w:val="24"/>
          <w:szCs w:val="24"/>
          <w:lang w:val="en-US" w:eastAsia="zh-CN" w:bidi="ar"/>
        </w:rPr>
        <w:t>月</w:t>
      </w:r>
      <w:r>
        <w:rPr>
          <w:rFonts w:hint="default" w:ascii="Times New Roman" w:hAnsi="Times New Roman" w:eastAsia="TimesNewRomanPSMT" w:cs="Times New Roman"/>
          <w:b w:val="0"/>
          <w:bCs w:val="0"/>
          <w:snapToGrid w:val="0"/>
          <w:color w:val="auto"/>
          <w:kern w:val="0"/>
          <w:sz w:val="24"/>
          <w:szCs w:val="24"/>
          <w:lang w:val="en-US" w:eastAsia="zh-CN" w:bidi="ar"/>
        </w:rPr>
        <w:t>1</w:t>
      </w:r>
      <w:r>
        <w:rPr>
          <w:rFonts w:hint="default" w:ascii="Times New Roman" w:hAnsi="Times New Roman" w:eastAsia="宋体" w:cs="Times New Roman"/>
          <w:b w:val="0"/>
          <w:bCs w:val="0"/>
          <w:snapToGrid w:val="0"/>
          <w:color w:val="auto"/>
          <w:kern w:val="0"/>
          <w:sz w:val="24"/>
          <w:szCs w:val="24"/>
          <w:lang w:val="en-US" w:eastAsia="zh-CN" w:bidi="ar"/>
        </w:rPr>
        <w:t>日起施行）；</w:t>
      </w:r>
    </w:p>
    <w:p w14:paraId="43B58C06">
      <w:pPr>
        <w:keepNext w:val="0"/>
        <w:keepLines w:val="0"/>
        <w:widowControl/>
        <w:suppressLineNumbers w:val="0"/>
        <w:spacing w:beforeLines="0" w:afterLines="0" w:line="360" w:lineRule="auto"/>
        <w:ind w:firstLine="480" w:firstLineChars="200"/>
        <w:jc w:val="left"/>
        <w:rPr>
          <w:rFonts w:hint="default" w:ascii="Times New Roman" w:hAnsi="Times New Roman" w:cs="Times New Roman"/>
          <w:color w:val="auto"/>
        </w:rPr>
      </w:pPr>
      <w:r>
        <w:rPr>
          <w:rFonts w:hint="default" w:ascii="Times New Roman" w:hAnsi="Times New Roman" w:eastAsia="宋体" w:cs="Times New Roman"/>
          <w:b w:val="0"/>
          <w:bCs w:val="0"/>
          <w:snapToGrid w:val="0"/>
          <w:color w:val="auto"/>
          <w:kern w:val="0"/>
          <w:sz w:val="24"/>
          <w:szCs w:val="24"/>
          <w:lang w:val="en-US" w:eastAsia="zh-CN" w:bidi="ar"/>
        </w:rPr>
        <w:t>（</w:t>
      </w:r>
      <w:r>
        <w:rPr>
          <w:rFonts w:hint="default" w:ascii="Times New Roman" w:hAnsi="Times New Roman" w:eastAsia="TimesNewRomanPSMT" w:cs="Times New Roman"/>
          <w:b w:val="0"/>
          <w:bCs w:val="0"/>
          <w:snapToGrid w:val="0"/>
          <w:color w:val="auto"/>
          <w:kern w:val="0"/>
          <w:sz w:val="24"/>
          <w:szCs w:val="24"/>
          <w:lang w:val="en-US" w:eastAsia="zh-CN" w:bidi="ar"/>
        </w:rPr>
        <w:t>2</w:t>
      </w:r>
      <w:r>
        <w:rPr>
          <w:rFonts w:hint="default" w:ascii="Times New Roman" w:hAnsi="Times New Roman" w:eastAsia="宋体" w:cs="Times New Roman"/>
          <w:b w:val="0"/>
          <w:bCs w:val="0"/>
          <w:snapToGrid w:val="0"/>
          <w:color w:val="auto"/>
          <w:kern w:val="0"/>
          <w:sz w:val="24"/>
          <w:szCs w:val="24"/>
          <w:lang w:val="en-US" w:eastAsia="zh-CN" w:bidi="ar"/>
        </w:rPr>
        <w:t>）《中华人民共和国水污染防治法》（</w:t>
      </w:r>
      <w:r>
        <w:rPr>
          <w:rFonts w:hint="default" w:ascii="Times New Roman" w:hAnsi="Times New Roman" w:eastAsia="TimesNewRomanPSMT" w:cs="Times New Roman"/>
          <w:b w:val="0"/>
          <w:bCs w:val="0"/>
          <w:snapToGrid w:val="0"/>
          <w:color w:val="auto"/>
          <w:kern w:val="0"/>
          <w:sz w:val="24"/>
          <w:szCs w:val="24"/>
          <w:lang w:val="en-US" w:eastAsia="zh-CN" w:bidi="ar"/>
        </w:rPr>
        <w:t>2017</w:t>
      </w:r>
      <w:r>
        <w:rPr>
          <w:rFonts w:hint="default" w:ascii="Times New Roman" w:hAnsi="Times New Roman" w:eastAsia="宋体" w:cs="Times New Roman"/>
          <w:b w:val="0"/>
          <w:bCs w:val="0"/>
          <w:snapToGrid w:val="0"/>
          <w:color w:val="auto"/>
          <w:kern w:val="0"/>
          <w:sz w:val="24"/>
          <w:szCs w:val="24"/>
          <w:lang w:val="en-US" w:eastAsia="zh-CN" w:bidi="ar"/>
        </w:rPr>
        <w:t>年</w:t>
      </w:r>
      <w:r>
        <w:rPr>
          <w:rFonts w:hint="default" w:ascii="Times New Roman" w:hAnsi="Times New Roman" w:eastAsia="TimesNewRomanPSMT" w:cs="Times New Roman"/>
          <w:b w:val="0"/>
          <w:bCs w:val="0"/>
          <w:snapToGrid w:val="0"/>
          <w:color w:val="auto"/>
          <w:kern w:val="0"/>
          <w:sz w:val="24"/>
          <w:szCs w:val="24"/>
          <w:lang w:val="en-US" w:eastAsia="zh-CN" w:bidi="ar"/>
        </w:rPr>
        <w:t>6</w:t>
      </w:r>
      <w:r>
        <w:rPr>
          <w:rFonts w:hint="default" w:ascii="Times New Roman" w:hAnsi="Times New Roman" w:eastAsia="宋体" w:cs="Times New Roman"/>
          <w:b w:val="0"/>
          <w:bCs w:val="0"/>
          <w:snapToGrid w:val="0"/>
          <w:color w:val="auto"/>
          <w:kern w:val="0"/>
          <w:sz w:val="24"/>
          <w:szCs w:val="24"/>
          <w:lang w:val="en-US" w:eastAsia="zh-CN" w:bidi="ar"/>
        </w:rPr>
        <w:t>月</w:t>
      </w:r>
      <w:r>
        <w:rPr>
          <w:rFonts w:hint="default" w:ascii="Times New Roman" w:hAnsi="Times New Roman" w:eastAsia="TimesNewRomanPSMT" w:cs="Times New Roman"/>
          <w:b w:val="0"/>
          <w:bCs w:val="0"/>
          <w:snapToGrid w:val="0"/>
          <w:color w:val="auto"/>
          <w:kern w:val="0"/>
          <w:sz w:val="24"/>
          <w:szCs w:val="24"/>
          <w:lang w:val="en-US" w:eastAsia="zh-CN" w:bidi="ar"/>
        </w:rPr>
        <w:t>27</w:t>
      </w:r>
      <w:r>
        <w:rPr>
          <w:rFonts w:hint="default" w:ascii="Times New Roman" w:hAnsi="Times New Roman" w:eastAsia="宋体" w:cs="Times New Roman"/>
          <w:b w:val="0"/>
          <w:bCs w:val="0"/>
          <w:snapToGrid w:val="0"/>
          <w:color w:val="auto"/>
          <w:kern w:val="0"/>
          <w:sz w:val="24"/>
          <w:szCs w:val="24"/>
          <w:lang w:val="en-US" w:eastAsia="zh-CN" w:bidi="ar"/>
        </w:rPr>
        <w:t>日第十二届全国人民代表大会常务委员会第二十八次会议修正，自</w:t>
      </w:r>
      <w:r>
        <w:rPr>
          <w:rFonts w:hint="default" w:ascii="Times New Roman" w:hAnsi="Times New Roman" w:eastAsia="TimesNewRomanPSMT" w:cs="Times New Roman"/>
          <w:b w:val="0"/>
          <w:bCs w:val="0"/>
          <w:snapToGrid w:val="0"/>
          <w:color w:val="auto"/>
          <w:kern w:val="0"/>
          <w:sz w:val="24"/>
          <w:szCs w:val="24"/>
          <w:lang w:val="en-US" w:eastAsia="zh-CN" w:bidi="ar"/>
        </w:rPr>
        <w:t>2018</w:t>
      </w:r>
      <w:r>
        <w:rPr>
          <w:rFonts w:hint="default" w:ascii="Times New Roman" w:hAnsi="Times New Roman" w:eastAsia="宋体" w:cs="Times New Roman"/>
          <w:b w:val="0"/>
          <w:bCs w:val="0"/>
          <w:snapToGrid w:val="0"/>
          <w:color w:val="auto"/>
          <w:kern w:val="0"/>
          <w:sz w:val="24"/>
          <w:szCs w:val="24"/>
          <w:lang w:val="en-US" w:eastAsia="zh-CN" w:bidi="ar"/>
        </w:rPr>
        <w:t>年</w:t>
      </w:r>
      <w:r>
        <w:rPr>
          <w:rFonts w:hint="default" w:ascii="Times New Roman" w:hAnsi="Times New Roman" w:eastAsia="TimesNewRomanPSMT" w:cs="Times New Roman"/>
          <w:b w:val="0"/>
          <w:bCs w:val="0"/>
          <w:snapToGrid w:val="0"/>
          <w:color w:val="auto"/>
          <w:kern w:val="0"/>
          <w:sz w:val="24"/>
          <w:szCs w:val="24"/>
          <w:lang w:val="en-US" w:eastAsia="zh-CN" w:bidi="ar"/>
        </w:rPr>
        <w:t>1</w:t>
      </w:r>
      <w:r>
        <w:rPr>
          <w:rFonts w:hint="default" w:ascii="Times New Roman" w:hAnsi="Times New Roman" w:eastAsia="宋体" w:cs="Times New Roman"/>
          <w:b w:val="0"/>
          <w:bCs w:val="0"/>
          <w:snapToGrid w:val="0"/>
          <w:color w:val="auto"/>
          <w:kern w:val="0"/>
          <w:sz w:val="24"/>
          <w:szCs w:val="24"/>
          <w:lang w:val="en-US" w:eastAsia="zh-CN" w:bidi="ar"/>
        </w:rPr>
        <w:t>月</w:t>
      </w:r>
      <w:r>
        <w:rPr>
          <w:rFonts w:hint="default" w:ascii="Times New Roman" w:hAnsi="Times New Roman" w:eastAsia="TimesNewRomanPSMT" w:cs="Times New Roman"/>
          <w:b w:val="0"/>
          <w:bCs w:val="0"/>
          <w:snapToGrid w:val="0"/>
          <w:color w:val="auto"/>
          <w:kern w:val="0"/>
          <w:sz w:val="24"/>
          <w:szCs w:val="24"/>
          <w:lang w:val="en-US" w:eastAsia="zh-CN" w:bidi="ar"/>
        </w:rPr>
        <w:t>1</w:t>
      </w:r>
      <w:r>
        <w:rPr>
          <w:rFonts w:hint="default" w:ascii="Times New Roman" w:hAnsi="Times New Roman" w:eastAsia="宋体" w:cs="Times New Roman"/>
          <w:b w:val="0"/>
          <w:bCs w:val="0"/>
          <w:snapToGrid w:val="0"/>
          <w:color w:val="auto"/>
          <w:kern w:val="0"/>
          <w:sz w:val="24"/>
          <w:szCs w:val="24"/>
          <w:lang w:val="en-US" w:eastAsia="zh-CN" w:bidi="ar"/>
        </w:rPr>
        <w:t>日起施行）；</w:t>
      </w:r>
    </w:p>
    <w:p w14:paraId="4B361B02">
      <w:pPr>
        <w:keepNext w:val="0"/>
        <w:keepLines w:val="0"/>
        <w:widowControl/>
        <w:suppressLineNumbers w:val="0"/>
        <w:spacing w:beforeLines="0" w:afterLines="0" w:line="360" w:lineRule="auto"/>
        <w:ind w:firstLine="480" w:firstLineChars="200"/>
        <w:jc w:val="left"/>
        <w:rPr>
          <w:rFonts w:hint="default" w:ascii="Times New Roman" w:hAnsi="Times New Roman" w:cs="Times New Roman"/>
          <w:color w:val="auto"/>
        </w:rPr>
      </w:pPr>
      <w:r>
        <w:rPr>
          <w:rFonts w:hint="default" w:ascii="Times New Roman" w:hAnsi="Times New Roman" w:eastAsia="宋体" w:cs="Times New Roman"/>
          <w:b w:val="0"/>
          <w:bCs w:val="0"/>
          <w:snapToGrid w:val="0"/>
          <w:color w:val="auto"/>
          <w:kern w:val="0"/>
          <w:sz w:val="24"/>
          <w:szCs w:val="24"/>
          <w:lang w:val="en-US" w:eastAsia="zh-CN" w:bidi="ar"/>
        </w:rPr>
        <w:t>（</w:t>
      </w:r>
      <w:r>
        <w:rPr>
          <w:rFonts w:hint="default" w:ascii="Times New Roman" w:hAnsi="Times New Roman" w:eastAsia="TimesNewRomanPSMT" w:cs="Times New Roman"/>
          <w:b w:val="0"/>
          <w:bCs w:val="0"/>
          <w:snapToGrid w:val="0"/>
          <w:color w:val="auto"/>
          <w:kern w:val="0"/>
          <w:sz w:val="24"/>
          <w:szCs w:val="24"/>
          <w:lang w:val="en-US" w:eastAsia="zh-CN" w:bidi="ar"/>
        </w:rPr>
        <w:t>3</w:t>
      </w:r>
      <w:r>
        <w:rPr>
          <w:rFonts w:hint="default" w:ascii="Times New Roman" w:hAnsi="Times New Roman" w:eastAsia="宋体" w:cs="Times New Roman"/>
          <w:b w:val="0"/>
          <w:bCs w:val="0"/>
          <w:snapToGrid w:val="0"/>
          <w:color w:val="auto"/>
          <w:kern w:val="0"/>
          <w:sz w:val="24"/>
          <w:szCs w:val="24"/>
          <w:lang w:val="en-US" w:eastAsia="zh-CN" w:bidi="ar"/>
        </w:rPr>
        <w:t>）《中华人民共和国大气污染防治法》（</w:t>
      </w:r>
      <w:r>
        <w:rPr>
          <w:rFonts w:hint="default" w:ascii="Times New Roman" w:hAnsi="Times New Roman" w:eastAsia="TimesNewRomanPSMT" w:cs="Times New Roman"/>
          <w:b w:val="0"/>
          <w:bCs w:val="0"/>
          <w:snapToGrid w:val="0"/>
          <w:color w:val="auto"/>
          <w:kern w:val="0"/>
          <w:sz w:val="24"/>
          <w:szCs w:val="24"/>
          <w:lang w:val="en-US" w:eastAsia="zh-CN" w:bidi="ar"/>
        </w:rPr>
        <w:t>2018</w:t>
      </w:r>
      <w:r>
        <w:rPr>
          <w:rFonts w:hint="default" w:ascii="Times New Roman" w:hAnsi="Times New Roman" w:eastAsia="宋体" w:cs="Times New Roman"/>
          <w:b w:val="0"/>
          <w:bCs w:val="0"/>
          <w:snapToGrid w:val="0"/>
          <w:color w:val="auto"/>
          <w:kern w:val="0"/>
          <w:sz w:val="24"/>
          <w:szCs w:val="24"/>
          <w:lang w:val="en-US" w:eastAsia="zh-CN" w:bidi="ar"/>
        </w:rPr>
        <w:t>年</w:t>
      </w:r>
      <w:r>
        <w:rPr>
          <w:rFonts w:hint="default" w:ascii="Times New Roman" w:hAnsi="Times New Roman" w:eastAsia="TimesNewRomanPSMT" w:cs="Times New Roman"/>
          <w:b w:val="0"/>
          <w:bCs w:val="0"/>
          <w:snapToGrid w:val="0"/>
          <w:color w:val="auto"/>
          <w:kern w:val="0"/>
          <w:sz w:val="24"/>
          <w:szCs w:val="24"/>
          <w:lang w:val="en-US" w:eastAsia="zh-CN" w:bidi="ar"/>
        </w:rPr>
        <w:t>10</w:t>
      </w:r>
      <w:r>
        <w:rPr>
          <w:rFonts w:hint="default" w:ascii="Times New Roman" w:hAnsi="Times New Roman" w:eastAsia="宋体" w:cs="Times New Roman"/>
          <w:b w:val="0"/>
          <w:bCs w:val="0"/>
          <w:snapToGrid w:val="0"/>
          <w:color w:val="auto"/>
          <w:kern w:val="0"/>
          <w:sz w:val="24"/>
          <w:szCs w:val="24"/>
          <w:lang w:val="en-US" w:eastAsia="zh-CN" w:bidi="ar"/>
        </w:rPr>
        <w:t>月</w:t>
      </w:r>
      <w:r>
        <w:rPr>
          <w:rFonts w:hint="default" w:ascii="Times New Roman" w:hAnsi="Times New Roman" w:eastAsia="TimesNewRomanPSMT" w:cs="Times New Roman"/>
          <w:b w:val="0"/>
          <w:bCs w:val="0"/>
          <w:snapToGrid w:val="0"/>
          <w:color w:val="auto"/>
          <w:kern w:val="0"/>
          <w:sz w:val="24"/>
          <w:szCs w:val="24"/>
          <w:lang w:val="en-US" w:eastAsia="zh-CN" w:bidi="ar"/>
        </w:rPr>
        <w:t>26</w:t>
      </w:r>
      <w:r>
        <w:rPr>
          <w:rFonts w:hint="default" w:ascii="Times New Roman" w:hAnsi="Times New Roman" w:eastAsia="宋体" w:cs="Times New Roman"/>
          <w:b w:val="0"/>
          <w:bCs w:val="0"/>
          <w:snapToGrid w:val="0"/>
          <w:color w:val="auto"/>
          <w:kern w:val="0"/>
          <w:sz w:val="24"/>
          <w:szCs w:val="24"/>
          <w:lang w:val="en-US" w:eastAsia="zh-CN" w:bidi="ar"/>
        </w:rPr>
        <w:t>日第十三届全国人民代表大会常务委员会第六次会议《关于修改〈中华人民共和国野生动物保护法〉等十五部法律的决定》第二次修正）；</w:t>
      </w:r>
    </w:p>
    <w:p w14:paraId="79480B47">
      <w:pPr>
        <w:keepNext w:val="0"/>
        <w:keepLines w:val="0"/>
        <w:widowControl/>
        <w:suppressLineNumbers w:val="0"/>
        <w:spacing w:beforeLines="0" w:afterLines="0" w:line="360" w:lineRule="auto"/>
        <w:ind w:firstLine="480" w:firstLineChars="200"/>
        <w:jc w:val="left"/>
        <w:rPr>
          <w:rFonts w:hint="default" w:ascii="Times New Roman" w:hAnsi="Times New Roman" w:cs="Times New Roman"/>
          <w:color w:val="auto"/>
        </w:rPr>
      </w:pPr>
      <w:r>
        <w:rPr>
          <w:rFonts w:hint="default" w:ascii="Times New Roman" w:hAnsi="Times New Roman" w:eastAsia="宋体" w:cs="Times New Roman"/>
          <w:b w:val="0"/>
          <w:bCs w:val="0"/>
          <w:snapToGrid w:val="0"/>
          <w:color w:val="auto"/>
          <w:kern w:val="0"/>
          <w:sz w:val="24"/>
          <w:szCs w:val="24"/>
          <w:lang w:val="en-US" w:eastAsia="zh-CN" w:bidi="ar"/>
        </w:rPr>
        <w:t>（4）</w:t>
      </w:r>
      <w:r>
        <w:rPr>
          <w:rFonts w:hint="default" w:ascii="Times New Roman" w:hAnsi="Times New Roman" w:cs="Times New Roman"/>
          <w:color w:val="auto"/>
          <w:sz w:val="24"/>
          <w:szCs w:val="24"/>
          <w:lang w:eastAsia="zh-CN" w:bidi="ar"/>
        </w:rPr>
        <w:t>《中华人民共和国环境噪声污染防治法》，2018年12月29日第十三届全国人民代表大会常务委员会第七次会议修订通过，自2019年1月1日起实施；</w:t>
      </w:r>
    </w:p>
    <w:p w14:paraId="27ECE475">
      <w:pPr>
        <w:keepNext w:val="0"/>
        <w:keepLines w:val="0"/>
        <w:widowControl/>
        <w:suppressLineNumbers w:val="0"/>
        <w:spacing w:beforeLines="0" w:afterLines="0" w:line="360" w:lineRule="auto"/>
        <w:ind w:firstLine="480" w:firstLineChars="200"/>
        <w:jc w:val="left"/>
        <w:rPr>
          <w:rFonts w:hint="default" w:ascii="Times New Roman" w:hAnsi="Times New Roman" w:eastAsia="宋体" w:cs="Times New Roman"/>
          <w:b w:val="0"/>
          <w:bCs w:val="0"/>
          <w:snapToGrid w:val="0"/>
          <w:color w:val="auto"/>
          <w:kern w:val="0"/>
          <w:sz w:val="24"/>
          <w:szCs w:val="24"/>
          <w:lang w:val="en-US" w:eastAsia="zh-CN" w:bidi="ar"/>
        </w:rPr>
      </w:pPr>
      <w:r>
        <w:rPr>
          <w:rFonts w:hint="default" w:ascii="Times New Roman" w:hAnsi="Times New Roman" w:eastAsia="宋体" w:cs="Times New Roman"/>
          <w:b w:val="0"/>
          <w:bCs w:val="0"/>
          <w:snapToGrid w:val="0"/>
          <w:color w:val="auto"/>
          <w:kern w:val="0"/>
          <w:sz w:val="24"/>
          <w:szCs w:val="24"/>
          <w:lang w:val="en-US" w:eastAsia="zh-CN" w:bidi="ar"/>
        </w:rPr>
        <w:t>（</w:t>
      </w:r>
      <w:r>
        <w:rPr>
          <w:rFonts w:hint="default" w:ascii="Times New Roman" w:hAnsi="Times New Roman" w:eastAsia="TimesNewRomanPSMT" w:cs="Times New Roman"/>
          <w:b w:val="0"/>
          <w:bCs w:val="0"/>
          <w:snapToGrid w:val="0"/>
          <w:color w:val="auto"/>
          <w:kern w:val="0"/>
          <w:sz w:val="24"/>
          <w:szCs w:val="24"/>
          <w:lang w:val="en-US" w:eastAsia="zh-CN" w:bidi="ar"/>
        </w:rPr>
        <w:t>5</w:t>
      </w:r>
      <w:r>
        <w:rPr>
          <w:rFonts w:hint="default" w:ascii="Times New Roman" w:hAnsi="Times New Roman" w:eastAsia="宋体" w:cs="Times New Roman"/>
          <w:b w:val="0"/>
          <w:bCs w:val="0"/>
          <w:snapToGrid w:val="0"/>
          <w:color w:val="auto"/>
          <w:kern w:val="0"/>
          <w:sz w:val="24"/>
          <w:szCs w:val="24"/>
          <w:lang w:val="en-US" w:eastAsia="zh-CN" w:bidi="ar"/>
        </w:rPr>
        <w:t>）《中华人民共和国固体废物污染环境防治法》，2020年4月29日第十三届全国人民代表大会常务委员会第十七次会议第二次修订，2020年9月1日起实施；</w:t>
      </w:r>
    </w:p>
    <w:p w14:paraId="0A9685D5">
      <w:pPr>
        <w:keepNext w:val="0"/>
        <w:keepLines w:val="0"/>
        <w:widowControl/>
        <w:suppressLineNumbers w:val="0"/>
        <w:jc w:val="left"/>
        <w:rPr>
          <w:rFonts w:hint="default" w:ascii="Times New Roman" w:hAnsi="Times New Roman" w:cs="Times New Roman"/>
          <w:color w:val="auto"/>
        </w:rPr>
      </w:pPr>
      <w:r>
        <w:rPr>
          <w:rFonts w:hint="default" w:ascii="Times New Roman" w:hAnsi="Times New Roman" w:cs="Times New Roman"/>
          <w:b w:val="0"/>
          <w:bCs w:val="0"/>
          <w:snapToGrid w:val="0"/>
          <w:color w:val="auto"/>
          <w:kern w:val="0"/>
          <w:sz w:val="24"/>
          <w:szCs w:val="24"/>
          <w:lang w:val="en-US" w:eastAsia="zh-CN" w:bidi="ar"/>
        </w:rPr>
        <w:t>（6）</w:t>
      </w:r>
      <w:r>
        <w:rPr>
          <w:rFonts w:hint="default" w:ascii="Times New Roman" w:hAnsi="Times New Roman" w:eastAsia="宋体" w:cs="Times New Roman"/>
          <w:b w:val="0"/>
          <w:bCs w:val="0"/>
          <w:snapToGrid w:val="0"/>
          <w:color w:val="auto"/>
          <w:kern w:val="0"/>
          <w:sz w:val="24"/>
          <w:szCs w:val="24"/>
          <w:lang w:val="en-US" w:eastAsia="zh-CN" w:bidi="ar"/>
        </w:rPr>
        <w:t>《</w:t>
      </w:r>
      <w:r>
        <w:rPr>
          <w:rFonts w:hint="default" w:ascii="Times New Roman" w:hAnsi="Times New Roman" w:eastAsia="宋体" w:cs="Times New Roman"/>
          <w:snapToGrid w:val="0"/>
          <w:color w:val="auto"/>
          <w:kern w:val="0"/>
          <w:sz w:val="24"/>
          <w:szCs w:val="24"/>
          <w:lang w:val="en-US" w:eastAsia="zh-CN" w:bidi="ar"/>
        </w:rPr>
        <w:t>中华人民共和国土壤污染防治法</w:t>
      </w:r>
      <w:r>
        <w:rPr>
          <w:rFonts w:hint="default" w:ascii="Times New Roman" w:hAnsi="Times New Roman" w:eastAsia="宋体" w:cs="Times New Roman"/>
          <w:b w:val="0"/>
          <w:bCs w:val="0"/>
          <w:snapToGrid w:val="0"/>
          <w:color w:val="auto"/>
          <w:kern w:val="0"/>
          <w:sz w:val="24"/>
          <w:szCs w:val="24"/>
          <w:lang w:val="en-US" w:eastAsia="zh-CN" w:bidi="ar"/>
        </w:rPr>
        <w:t>》</w:t>
      </w:r>
      <w:r>
        <w:rPr>
          <w:rFonts w:hint="default" w:ascii="Times New Roman" w:hAnsi="Times New Roman" w:cs="Times New Roman"/>
          <w:b w:val="0"/>
          <w:bCs w:val="0"/>
          <w:snapToGrid w:val="0"/>
          <w:color w:val="auto"/>
          <w:kern w:val="0"/>
          <w:sz w:val="24"/>
          <w:szCs w:val="24"/>
          <w:lang w:val="en-US" w:eastAsia="zh-CN" w:bidi="ar"/>
        </w:rPr>
        <w:t>，</w:t>
      </w:r>
      <w:r>
        <w:rPr>
          <w:rFonts w:hint="default" w:ascii="Times New Roman" w:hAnsi="Times New Roman" w:eastAsia="宋体" w:cs="Times New Roman"/>
          <w:b w:val="0"/>
          <w:bCs w:val="0"/>
          <w:snapToGrid w:val="0"/>
          <w:color w:val="auto"/>
          <w:kern w:val="0"/>
          <w:sz w:val="24"/>
          <w:szCs w:val="24"/>
          <w:lang w:val="en-US" w:eastAsia="zh-CN" w:bidi="ar"/>
        </w:rPr>
        <w:t>2018年8月31日</w:t>
      </w:r>
      <w:r>
        <w:rPr>
          <w:rFonts w:hint="default" w:ascii="Times New Roman" w:hAnsi="Times New Roman" w:cs="Times New Roman"/>
          <w:b w:val="0"/>
          <w:bCs w:val="0"/>
          <w:snapToGrid w:val="0"/>
          <w:color w:val="auto"/>
          <w:kern w:val="0"/>
          <w:sz w:val="24"/>
          <w:szCs w:val="24"/>
          <w:lang w:val="en-US" w:eastAsia="zh-CN" w:bidi="ar"/>
        </w:rPr>
        <w:t>第</w:t>
      </w:r>
      <w:r>
        <w:rPr>
          <w:rFonts w:hint="default" w:ascii="Times New Roman" w:hAnsi="Times New Roman" w:eastAsia="宋体" w:cs="Times New Roman"/>
          <w:b w:val="0"/>
          <w:bCs w:val="0"/>
          <w:snapToGrid w:val="0"/>
          <w:color w:val="auto"/>
          <w:kern w:val="0"/>
          <w:sz w:val="24"/>
          <w:szCs w:val="24"/>
          <w:lang w:val="en-US" w:eastAsia="zh-CN" w:bidi="ar"/>
        </w:rPr>
        <w:t>十三届全国人大常委会第五次会议</w:t>
      </w:r>
      <w:r>
        <w:rPr>
          <w:rFonts w:hint="default" w:ascii="Times New Roman" w:hAnsi="Times New Roman" w:cs="Times New Roman"/>
          <w:b w:val="0"/>
          <w:bCs w:val="0"/>
          <w:snapToGrid w:val="0"/>
          <w:color w:val="auto"/>
          <w:kern w:val="0"/>
          <w:sz w:val="24"/>
          <w:szCs w:val="24"/>
          <w:lang w:val="en-US" w:eastAsia="zh-CN" w:bidi="ar"/>
        </w:rPr>
        <w:t>通过</w:t>
      </w:r>
      <w:r>
        <w:rPr>
          <w:rFonts w:hint="default" w:ascii="Times New Roman" w:hAnsi="Times New Roman" w:eastAsia="宋体" w:cs="Times New Roman"/>
          <w:b w:val="0"/>
          <w:bCs w:val="0"/>
          <w:snapToGrid w:val="0"/>
          <w:color w:val="auto"/>
          <w:kern w:val="0"/>
          <w:sz w:val="24"/>
          <w:szCs w:val="24"/>
          <w:lang w:val="en-US" w:eastAsia="zh-CN" w:bidi="ar"/>
        </w:rPr>
        <w:t>，自2019年1月1日起施行</w:t>
      </w:r>
      <w:r>
        <w:rPr>
          <w:rFonts w:hint="default" w:ascii="Times New Roman" w:hAnsi="Times New Roman" w:cs="Times New Roman"/>
          <w:b w:val="0"/>
          <w:bCs w:val="0"/>
          <w:snapToGrid w:val="0"/>
          <w:color w:val="auto"/>
          <w:kern w:val="0"/>
          <w:sz w:val="24"/>
          <w:szCs w:val="24"/>
          <w:lang w:val="en-US" w:eastAsia="zh-CN" w:bidi="ar"/>
        </w:rPr>
        <w:t>；</w:t>
      </w:r>
    </w:p>
    <w:p w14:paraId="75CDF9B3">
      <w:pPr>
        <w:keepNext w:val="0"/>
        <w:keepLines w:val="0"/>
        <w:widowControl/>
        <w:suppressLineNumbers w:val="0"/>
        <w:spacing w:beforeLines="0" w:afterLines="0" w:line="360" w:lineRule="auto"/>
        <w:ind w:firstLine="480" w:firstLineChars="200"/>
        <w:jc w:val="left"/>
        <w:rPr>
          <w:rFonts w:hint="default" w:ascii="Times New Roman" w:hAnsi="Times New Roman" w:eastAsia="宋体" w:cs="Times New Roman"/>
          <w:b w:val="0"/>
          <w:bCs w:val="0"/>
          <w:snapToGrid w:val="0"/>
          <w:color w:val="auto"/>
          <w:kern w:val="0"/>
          <w:sz w:val="24"/>
          <w:szCs w:val="24"/>
          <w:lang w:val="en-US" w:eastAsia="zh-CN" w:bidi="ar"/>
        </w:rPr>
      </w:pPr>
      <w:r>
        <w:rPr>
          <w:rFonts w:hint="default" w:ascii="Times New Roman" w:hAnsi="Times New Roman" w:cs="Times New Roman"/>
          <w:b w:val="0"/>
          <w:bCs w:val="0"/>
          <w:snapToGrid w:val="0"/>
          <w:color w:val="auto"/>
          <w:kern w:val="0"/>
          <w:sz w:val="24"/>
          <w:szCs w:val="24"/>
          <w:lang w:val="en-US" w:eastAsia="zh-CN" w:bidi="ar"/>
        </w:rPr>
        <w:t>（</w:t>
      </w:r>
      <w:r>
        <w:rPr>
          <w:rFonts w:hint="default" w:ascii="Times New Roman" w:hAnsi="Times New Roman" w:eastAsia="TimesNewRomanPSMT" w:cs="Times New Roman"/>
          <w:b w:val="0"/>
          <w:bCs w:val="0"/>
          <w:snapToGrid w:val="0"/>
          <w:color w:val="auto"/>
          <w:kern w:val="0"/>
          <w:sz w:val="24"/>
          <w:szCs w:val="24"/>
          <w:lang w:val="en-US" w:eastAsia="zh-CN" w:bidi="ar"/>
        </w:rPr>
        <w:t>7</w:t>
      </w:r>
      <w:r>
        <w:rPr>
          <w:rFonts w:hint="default" w:ascii="Times New Roman" w:hAnsi="Times New Roman" w:cs="Times New Roman"/>
          <w:b w:val="0"/>
          <w:bCs w:val="0"/>
          <w:snapToGrid w:val="0"/>
          <w:color w:val="auto"/>
          <w:kern w:val="0"/>
          <w:sz w:val="24"/>
          <w:szCs w:val="24"/>
          <w:lang w:val="en-US" w:eastAsia="zh-CN" w:bidi="ar"/>
        </w:rPr>
        <w:t>）</w:t>
      </w:r>
      <w:r>
        <w:rPr>
          <w:rFonts w:hint="default" w:ascii="Times New Roman" w:hAnsi="Times New Roman" w:eastAsia="宋体" w:cs="Times New Roman"/>
          <w:b w:val="0"/>
          <w:bCs w:val="0"/>
          <w:snapToGrid w:val="0"/>
          <w:color w:val="auto"/>
          <w:kern w:val="0"/>
          <w:sz w:val="24"/>
          <w:szCs w:val="24"/>
          <w:lang w:val="en-US" w:eastAsia="zh-CN" w:bidi="ar"/>
        </w:rPr>
        <w:t>《中华人民共和国环境影响评价法》</w:t>
      </w:r>
      <w:r>
        <w:rPr>
          <w:rFonts w:hint="default" w:ascii="Times New Roman" w:hAnsi="Times New Roman" w:cs="Times New Roman"/>
          <w:b w:val="0"/>
          <w:bCs w:val="0"/>
          <w:snapToGrid w:val="0"/>
          <w:color w:val="auto"/>
          <w:kern w:val="0"/>
          <w:sz w:val="24"/>
          <w:szCs w:val="24"/>
          <w:lang w:val="en-US" w:eastAsia="zh-CN" w:bidi="ar"/>
        </w:rPr>
        <w:t>，</w:t>
      </w:r>
      <w:r>
        <w:rPr>
          <w:rFonts w:hint="default" w:ascii="Times New Roman" w:hAnsi="Times New Roman" w:eastAsia="TimesNewRomanPSMT" w:cs="Times New Roman"/>
          <w:b w:val="0"/>
          <w:bCs w:val="0"/>
          <w:snapToGrid w:val="0"/>
          <w:color w:val="auto"/>
          <w:kern w:val="0"/>
          <w:sz w:val="24"/>
          <w:szCs w:val="24"/>
          <w:lang w:val="en-US" w:eastAsia="zh-CN" w:bidi="ar"/>
        </w:rPr>
        <w:t>2018</w:t>
      </w:r>
      <w:r>
        <w:rPr>
          <w:rFonts w:hint="default" w:ascii="Times New Roman" w:hAnsi="Times New Roman" w:eastAsia="宋体" w:cs="Times New Roman"/>
          <w:b w:val="0"/>
          <w:bCs w:val="0"/>
          <w:snapToGrid w:val="0"/>
          <w:color w:val="auto"/>
          <w:kern w:val="0"/>
          <w:sz w:val="24"/>
          <w:szCs w:val="24"/>
          <w:lang w:val="en-US" w:eastAsia="zh-CN" w:bidi="ar"/>
        </w:rPr>
        <w:t>年</w:t>
      </w:r>
      <w:r>
        <w:rPr>
          <w:rFonts w:hint="default" w:ascii="Times New Roman" w:hAnsi="Times New Roman" w:eastAsia="TimesNewRomanPSMT" w:cs="Times New Roman"/>
          <w:b w:val="0"/>
          <w:bCs w:val="0"/>
          <w:snapToGrid w:val="0"/>
          <w:color w:val="auto"/>
          <w:kern w:val="0"/>
          <w:sz w:val="24"/>
          <w:szCs w:val="24"/>
          <w:lang w:val="en-US" w:eastAsia="zh-CN" w:bidi="ar"/>
        </w:rPr>
        <w:t>12</w:t>
      </w:r>
      <w:r>
        <w:rPr>
          <w:rFonts w:hint="default" w:ascii="Times New Roman" w:hAnsi="Times New Roman" w:eastAsia="宋体" w:cs="Times New Roman"/>
          <w:b w:val="0"/>
          <w:bCs w:val="0"/>
          <w:snapToGrid w:val="0"/>
          <w:color w:val="auto"/>
          <w:kern w:val="0"/>
          <w:sz w:val="24"/>
          <w:szCs w:val="24"/>
          <w:lang w:val="en-US" w:eastAsia="zh-CN" w:bidi="ar"/>
        </w:rPr>
        <w:t>月</w:t>
      </w:r>
      <w:r>
        <w:rPr>
          <w:rFonts w:hint="default" w:ascii="Times New Roman" w:hAnsi="Times New Roman" w:eastAsia="TimesNewRomanPSMT" w:cs="Times New Roman"/>
          <w:b w:val="0"/>
          <w:bCs w:val="0"/>
          <w:snapToGrid w:val="0"/>
          <w:color w:val="auto"/>
          <w:kern w:val="0"/>
          <w:sz w:val="24"/>
          <w:szCs w:val="24"/>
          <w:lang w:val="en-US" w:eastAsia="zh-CN" w:bidi="ar"/>
        </w:rPr>
        <w:t>29</w:t>
      </w:r>
      <w:r>
        <w:rPr>
          <w:rFonts w:hint="default" w:ascii="Times New Roman" w:hAnsi="Times New Roman" w:eastAsia="宋体" w:cs="Times New Roman"/>
          <w:b w:val="0"/>
          <w:bCs w:val="0"/>
          <w:snapToGrid w:val="0"/>
          <w:color w:val="auto"/>
          <w:kern w:val="0"/>
          <w:sz w:val="24"/>
          <w:szCs w:val="24"/>
          <w:lang w:val="en-US" w:eastAsia="zh-CN" w:bidi="ar"/>
        </w:rPr>
        <w:t>日，第十三届全国人民代表大会常务委员会第七次会议第二次修正；</w:t>
      </w:r>
    </w:p>
    <w:p w14:paraId="7FA0592B">
      <w:pPr>
        <w:keepNext w:val="0"/>
        <w:keepLines w:val="0"/>
        <w:widowControl/>
        <w:suppressLineNumbers w:val="0"/>
        <w:spacing w:beforeLines="0" w:afterLines="0" w:line="360" w:lineRule="auto"/>
        <w:ind w:firstLine="480" w:firstLineChars="200"/>
        <w:jc w:val="left"/>
        <w:rPr>
          <w:rFonts w:hint="default" w:ascii="Times New Roman" w:hAnsi="Times New Roman" w:cs="Times New Roman"/>
          <w:b w:val="0"/>
          <w:bCs w:val="0"/>
          <w:snapToGrid w:val="0"/>
          <w:color w:val="auto"/>
          <w:kern w:val="0"/>
          <w:sz w:val="24"/>
          <w:szCs w:val="24"/>
          <w:lang w:val="en-US" w:eastAsia="zh-CN" w:bidi="ar"/>
        </w:rPr>
      </w:pPr>
      <w:r>
        <w:rPr>
          <w:rFonts w:hint="default" w:ascii="Times New Roman" w:hAnsi="Times New Roman" w:cs="Times New Roman"/>
          <w:b w:val="0"/>
          <w:bCs w:val="0"/>
          <w:snapToGrid w:val="0"/>
          <w:color w:val="auto"/>
          <w:kern w:val="0"/>
          <w:sz w:val="24"/>
          <w:szCs w:val="24"/>
          <w:lang w:val="en-US" w:eastAsia="zh-CN" w:bidi="ar"/>
        </w:rPr>
        <w:t>（8）《建设项目竣工环境保护验收暂行办法》（国环规环评〔2017〕4号），原环境保护部，2017年11月20日；</w:t>
      </w:r>
    </w:p>
    <w:p w14:paraId="0398083E">
      <w:pPr>
        <w:jc w:val="left"/>
        <w:rPr>
          <w:rFonts w:hint="default" w:ascii="Times New Roman" w:hAnsi="Times New Roman" w:cs="Times New Roman"/>
          <w:color w:val="auto"/>
          <w:szCs w:val="24"/>
          <w:highlight w:val="none"/>
          <w:lang w:eastAsia="zh-CN" w:bidi="ar"/>
        </w:rPr>
      </w:pPr>
      <w:r>
        <w:rPr>
          <w:rFonts w:hint="default" w:ascii="Times New Roman" w:hAnsi="Times New Roman" w:cs="Times New Roman"/>
          <w:color w:val="auto"/>
          <w:highlight w:val="none"/>
          <w:lang w:eastAsia="zh-CN"/>
        </w:rPr>
        <w:t>（</w:t>
      </w:r>
      <w:r>
        <w:rPr>
          <w:rFonts w:hint="eastAsia" w:cs="Times New Roman"/>
          <w:color w:val="auto"/>
          <w:highlight w:val="none"/>
          <w:lang w:val="en-US" w:eastAsia="zh-CN"/>
        </w:rPr>
        <w:t>9</w:t>
      </w:r>
      <w:r>
        <w:rPr>
          <w:rFonts w:hint="default" w:ascii="Times New Roman" w:hAnsi="Times New Roman" w:cs="Times New Roman"/>
          <w:color w:val="auto"/>
          <w:highlight w:val="none"/>
          <w:lang w:eastAsia="zh-CN"/>
        </w:rPr>
        <w:t>）《排污许可管理条例》于2020年12月9日国务院第117次常务会议通过，自2021年3月1日起施行；</w:t>
      </w:r>
    </w:p>
    <w:p w14:paraId="35E063C6">
      <w:pPr>
        <w:jc w:val="left"/>
        <w:rPr>
          <w:rFonts w:hint="default" w:ascii="Times New Roman" w:hAnsi="Times New Roman" w:cs="Times New Roman"/>
          <w:color w:val="auto"/>
          <w:szCs w:val="24"/>
          <w:highlight w:val="none"/>
          <w:lang w:eastAsia="zh-CN" w:bidi="ar"/>
        </w:rPr>
      </w:pPr>
      <w:r>
        <w:rPr>
          <w:rFonts w:hint="default" w:ascii="Times New Roman" w:hAnsi="Times New Roman" w:cs="Times New Roman"/>
          <w:color w:val="auto"/>
          <w:szCs w:val="24"/>
          <w:highlight w:val="none"/>
          <w:lang w:eastAsia="zh-CN" w:bidi="ar"/>
        </w:rPr>
        <w:t>（</w:t>
      </w:r>
      <w:r>
        <w:rPr>
          <w:rFonts w:hint="default" w:ascii="Times New Roman" w:hAnsi="Times New Roman" w:eastAsia="TimesNewRomanPSMT" w:cs="Times New Roman"/>
          <w:color w:val="auto"/>
          <w:szCs w:val="24"/>
          <w:highlight w:val="none"/>
          <w:lang w:eastAsia="zh-CN" w:bidi="ar"/>
        </w:rPr>
        <w:t>1</w:t>
      </w:r>
      <w:r>
        <w:rPr>
          <w:rFonts w:hint="eastAsia" w:eastAsia="TimesNewRomanPSMT" w:cs="Times New Roman"/>
          <w:color w:val="auto"/>
          <w:szCs w:val="24"/>
          <w:highlight w:val="none"/>
          <w:lang w:val="en-US" w:eastAsia="zh-CN" w:bidi="ar"/>
        </w:rPr>
        <w:t>0</w:t>
      </w:r>
      <w:r>
        <w:rPr>
          <w:rFonts w:hint="default" w:ascii="Times New Roman" w:hAnsi="Times New Roman" w:cs="Times New Roman"/>
          <w:color w:val="auto"/>
          <w:szCs w:val="24"/>
          <w:highlight w:val="none"/>
          <w:lang w:eastAsia="zh-CN" w:bidi="ar"/>
        </w:rPr>
        <w:t>）《排污许可管理办法》，于2023年12月25日，生态环境部2023年第4次部务会议审议通过，2024年7月1日起施行；</w:t>
      </w:r>
    </w:p>
    <w:p w14:paraId="1DB10611">
      <w:pPr>
        <w:rPr>
          <w:rFonts w:hint="default" w:ascii="Times New Roman" w:hAnsi="Times New Roman" w:cs="Times New Roman"/>
          <w:color w:val="auto"/>
          <w:szCs w:val="24"/>
          <w:highlight w:val="none"/>
          <w:lang w:eastAsia="zh-CN"/>
        </w:rPr>
      </w:pPr>
      <w:r>
        <w:rPr>
          <w:rFonts w:hint="default" w:ascii="Times New Roman" w:hAnsi="Times New Roman" w:cs="Times New Roman"/>
          <w:color w:val="auto"/>
          <w:highlight w:val="none"/>
          <w:lang w:eastAsia="zh-CN"/>
        </w:rPr>
        <w:t>（1</w:t>
      </w:r>
      <w:r>
        <w:rPr>
          <w:rFonts w:hint="eastAsia" w:cs="Times New Roman"/>
          <w:color w:val="auto"/>
          <w:highlight w:val="none"/>
          <w:lang w:val="en-US" w:eastAsia="zh-CN"/>
        </w:rPr>
        <w:t>1</w:t>
      </w:r>
      <w:r>
        <w:rPr>
          <w:rFonts w:hint="default" w:ascii="Times New Roman" w:hAnsi="Times New Roman" w:cs="Times New Roman"/>
          <w:color w:val="auto"/>
          <w:highlight w:val="none"/>
          <w:lang w:eastAsia="zh-CN"/>
        </w:rPr>
        <w:t>）《建设项目环境保护管理条例》，2017年6月21日国务院第177次常务会议通过，自2017年10月1日起施行</w:t>
      </w:r>
      <w:r>
        <w:rPr>
          <w:rFonts w:hint="eastAsia" w:cs="Times New Roman"/>
          <w:color w:val="auto"/>
          <w:highlight w:val="none"/>
          <w:lang w:eastAsia="zh-CN"/>
        </w:rPr>
        <w:t>；</w:t>
      </w:r>
    </w:p>
    <w:p w14:paraId="41B6A161">
      <w:pPr>
        <w:rPr>
          <w:rFonts w:hint="default" w:ascii="Times New Roman" w:hAnsi="Times New Roman" w:cs="Times New Roman"/>
          <w:color w:val="auto"/>
          <w:szCs w:val="24"/>
          <w:highlight w:val="none"/>
          <w:lang w:eastAsia="zh-CN"/>
        </w:rPr>
      </w:pPr>
      <w:r>
        <w:rPr>
          <w:rFonts w:hint="default" w:ascii="Times New Roman" w:hAnsi="Times New Roman" w:cs="Times New Roman"/>
          <w:color w:val="auto"/>
          <w:szCs w:val="24"/>
          <w:highlight w:val="none"/>
          <w:lang w:val="en-US" w:eastAsia="zh-CN"/>
        </w:rPr>
        <w:t>（</w:t>
      </w:r>
      <w:r>
        <w:rPr>
          <w:rFonts w:hint="eastAsia" w:cs="Times New Roman"/>
          <w:color w:val="auto"/>
          <w:szCs w:val="24"/>
          <w:highlight w:val="none"/>
          <w:lang w:val="en-US" w:eastAsia="zh-CN"/>
        </w:rPr>
        <w:t>12</w:t>
      </w:r>
      <w:r>
        <w:rPr>
          <w:rFonts w:hint="default" w:ascii="Times New Roman" w:hAnsi="Times New Roman" w:cs="Times New Roman"/>
          <w:color w:val="auto"/>
          <w:szCs w:val="24"/>
          <w:highlight w:val="none"/>
          <w:lang w:val="en-US" w:eastAsia="zh-CN"/>
        </w:rPr>
        <w:t>）《福建省生态环境保护条例》，2022年5月1日起施行；</w:t>
      </w:r>
    </w:p>
    <w:p w14:paraId="05CB7E84">
      <w:pPr>
        <w:rPr>
          <w:rFonts w:hint="default" w:ascii="Times New Roman" w:hAnsi="Times New Roman" w:cs="Times New Roman"/>
          <w:color w:val="auto"/>
          <w:szCs w:val="24"/>
          <w:highlight w:val="none"/>
          <w:lang w:eastAsia="zh-CN"/>
        </w:rPr>
      </w:pPr>
      <w:r>
        <w:rPr>
          <w:rFonts w:hint="default" w:ascii="Times New Roman" w:hAnsi="Times New Roman" w:cs="Times New Roman"/>
          <w:color w:val="auto"/>
          <w:szCs w:val="24"/>
          <w:highlight w:val="none"/>
          <w:lang w:val="en-US" w:eastAsia="zh-CN"/>
        </w:rPr>
        <w:t>（</w:t>
      </w:r>
      <w:r>
        <w:rPr>
          <w:rFonts w:hint="eastAsia" w:cs="Times New Roman"/>
          <w:color w:val="auto"/>
          <w:szCs w:val="24"/>
          <w:highlight w:val="none"/>
          <w:lang w:val="en-US" w:eastAsia="zh-CN"/>
        </w:rPr>
        <w:t>13</w:t>
      </w:r>
      <w:r>
        <w:rPr>
          <w:rFonts w:hint="default" w:ascii="Times New Roman" w:hAnsi="Times New Roman" w:cs="Times New Roman"/>
          <w:color w:val="auto"/>
          <w:szCs w:val="24"/>
          <w:highlight w:val="none"/>
          <w:lang w:val="en-US" w:eastAsia="zh-CN"/>
        </w:rPr>
        <w:t>）《固定污染源排污许可分类管理名录》（2019年版）（环境保护部令第11号），2019年12月20日；</w:t>
      </w:r>
    </w:p>
    <w:p w14:paraId="44A6CAF0">
      <w:pPr>
        <w:rPr>
          <w:rFonts w:hint="eastAsia" w:cs="Times New Roman"/>
          <w:color w:val="auto"/>
          <w:szCs w:val="24"/>
          <w:highlight w:val="none"/>
          <w:lang w:eastAsia="zh-CN"/>
        </w:rPr>
      </w:pPr>
      <w:r>
        <w:rPr>
          <w:rFonts w:hint="eastAsia" w:cs="Times New Roman"/>
          <w:color w:val="auto"/>
          <w:szCs w:val="24"/>
          <w:highlight w:val="none"/>
          <w:lang w:eastAsia="zh-CN"/>
        </w:rPr>
        <w:t>（</w:t>
      </w:r>
      <w:r>
        <w:rPr>
          <w:rFonts w:hint="eastAsia" w:cs="Times New Roman"/>
          <w:color w:val="auto"/>
          <w:szCs w:val="24"/>
          <w:highlight w:val="none"/>
          <w:lang w:val="en-US" w:eastAsia="zh-CN"/>
        </w:rPr>
        <w:t>14</w:t>
      </w:r>
      <w:r>
        <w:rPr>
          <w:rFonts w:hint="eastAsia" w:cs="Times New Roman"/>
          <w:color w:val="auto"/>
          <w:szCs w:val="24"/>
          <w:highlight w:val="none"/>
          <w:lang w:eastAsia="zh-CN"/>
        </w:rPr>
        <w:t>）</w:t>
      </w:r>
      <w:r>
        <w:rPr>
          <w:rFonts w:hint="eastAsia" w:cs="Times New Roman"/>
          <w:color w:val="auto"/>
          <w:szCs w:val="24"/>
          <w:highlight w:val="none"/>
          <w:lang w:val="en-US" w:eastAsia="zh-CN"/>
        </w:rPr>
        <w:t>《污染影响类建设项目重大变动清单（试行）》（环办环评函〔2020〕688号），2020年12月13日。</w:t>
      </w:r>
    </w:p>
    <w:p w14:paraId="1F85EB40">
      <w:pPr>
        <w:pStyle w:val="3"/>
        <w:bidi w:val="0"/>
        <w:rPr>
          <w:rFonts w:hint="default" w:ascii="Times New Roman" w:hAnsi="Times New Roman" w:cs="Times New Roman"/>
          <w:color w:val="auto"/>
        </w:rPr>
      </w:pPr>
      <w:bookmarkStart w:id="10" w:name="_Toc26418"/>
      <w:r>
        <w:rPr>
          <w:rFonts w:hint="default" w:ascii="Times New Roman" w:hAnsi="Times New Roman" w:cs="Times New Roman"/>
          <w:color w:val="auto"/>
        </w:rPr>
        <w:t>2.2建设项目竣工环境保护验收技术规范</w:t>
      </w:r>
      <w:bookmarkEnd w:id="10"/>
    </w:p>
    <w:p w14:paraId="3A4FF165">
      <w:pPr>
        <w:keepNext w:val="0"/>
        <w:keepLines w:val="0"/>
        <w:widowControl/>
        <w:suppressLineNumbers w:val="0"/>
        <w:spacing w:beforeLines="0" w:afterLines="0" w:line="360" w:lineRule="auto"/>
        <w:ind w:firstLine="480" w:firstLineChars="200"/>
        <w:jc w:val="left"/>
        <w:rPr>
          <w:rFonts w:hint="default" w:ascii="Times New Roman" w:hAnsi="Times New Roman" w:eastAsia="宋体" w:cs="Times New Roman"/>
          <w:b w:val="0"/>
          <w:bCs w:val="0"/>
          <w:snapToGrid w:val="0"/>
          <w:color w:val="auto"/>
          <w:kern w:val="0"/>
          <w:sz w:val="24"/>
          <w:szCs w:val="24"/>
          <w:lang w:val="en-US" w:eastAsia="zh-CN" w:bidi="ar"/>
        </w:rPr>
      </w:pPr>
      <w:r>
        <w:rPr>
          <w:rFonts w:hint="default" w:ascii="Times New Roman" w:hAnsi="Times New Roman" w:eastAsia="宋体" w:cs="Times New Roman"/>
          <w:b w:val="0"/>
          <w:bCs w:val="0"/>
          <w:snapToGrid w:val="0"/>
          <w:color w:val="auto"/>
          <w:kern w:val="0"/>
          <w:sz w:val="24"/>
          <w:szCs w:val="24"/>
          <w:lang w:val="en-US" w:eastAsia="zh-CN" w:bidi="ar"/>
        </w:rPr>
        <w:t>（</w:t>
      </w:r>
      <w:r>
        <w:rPr>
          <w:rFonts w:hint="default" w:ascii="Times New Roman" w:hAnsi="Times New Roman" w:eastAsia="TimesNewRomanPSMT" w:cs="Times New Roman"/>
          <w:b w:val="0"/>
          <w:bCs w:val="0"/>
          <w:snapToGrid w:val="0"/>
          <w:color w:val="auto"/>
          <w:kern w:val="0"/>
          <w:sz w:val="24"/>
          <w:szCs w:val="24"/>
          <w:lang w:val="en-US" w:eastAsia="zh-CN" w:bidi="ar"/>
        </w:rPr>
        <w:t>1</w:t>
      </w:r>
      <w:r>
        <w:rPr>
          <w:rFonts w:hint="default" w:ascii="Times New Roman" w:hAnsi="Times New Roman" w:eastAsia="宋体" w:cs="Times New Roman"/>
          <w:b w:val="0"/>
          <w:bCs w:val="0"/>
          <w:snapToGrid w:val="0"/>
          <w:color w:val="auto"/>
          <w:kern w:val="0"/>
          <w:sz w:val="24"/>
          <w:szCs w:val="24"/>
          <w:lang w:val="en-US" w:eastAsia="zh-CN" w:bidi="ar"/>
        </w:rPr>
        <w:t>）《建设项目竣工环境保护验收技术指南污染影响类》</w:t>
      </w:r>
      <w:r>
        <w:rPr>
          <w:rFonts w:hint="default" w:ascii="Times New Roman" w:hAnsi="Times New Roman" w:cs="Times New Roman"/>
          <w:b w:val="0"/>
          <w:bCs w:val="0"/>
          <w:snapToGrid w:val="0"/>
          <w:color w:val="auto"/>
          <w:kern w:val="0"/>
          <w:sz w:val="24"/>
          <w:szCs w:val="24"/>
          <w:lang w:val="en-US" w:eastAsia="zh-CN" w:bidi="ar"/>
        </w:rPr>
        <w:t>，</w:t>
      </w:r>
      <w:r>
        <w:rPr>
          <w:rFonts w:hint="default" w:ascii="Times New Roman" w:hAnsi="Times New Roman" w:eastAsia="宋体" w:cs="Times New Roman"/>
          <w:b w:val="0"/>
          <w:bCs w:val="0"/>
          <w:snapToGrid w:val="0"/>
          <w:color w:val="auto"/>
          <w:kern w:val="0"/>
          <w:sz w:val="24"/>
          <w:szCs w:val="24"/>
          <w:lang w:val="en-US" w:eastAsia="zh-CN" w:bidi="ar"/>
        </w:rPr>
        <w:t>生态环境部</w:t>
      </w:r>
      <w:r>
        <w:rPr>
          <w:rFonts w:hint="default" w:ascii="Times New Roman" w:hAnsi="Times New Roman" w:eastAsia="TimesNewRomanPSMT" w:cs="Times New Roman"/>
          <w:b w:val="0"/>
          <w:bCs w:val="0"/>
          <w:snapToGrid w:val="0"/>
          <w:color w:val="auto"/>
          <w:kern w:val="0"/>
          <w:sz w:val="24"/>
          <w:szCs w:val="24"/>
          <w:lang w:val="en-US" w:eastAsia="zh-CN" w:bidi="ar"/>
        </w:rPr>
        <w:t>2018</w:t>
      </w:r>
      <w:r>
        <w:rPr>
          <w:rFonts w:hint="default" w:ascii="Times New Roman" w:hAnsi="Times New Roman" w:eastAsia="宋体" w:cs="Times New Roman"/>
          <w:b w:val="0"/>
          <w:bCs w:val="0"/>
          <w:snapToGrid w:val="0"/>
          <w:color w:val="auto"/>
          <w:kern w:val="0"/>
          <w:sz w:val="24"/>
          <w:szCs w:val="24"/>
          <w:lang w:val="en-US" w:eastAsia="zh-CN" w:bidi="ar"/>
        </w:rPr>
        <w:t>年</w:t>
      </w:r>
      <w:r>
        <w:rPr>
          <w:rFonts w:hint="default" w:ascii="Times New Roman" w:hAnsi="Times New Roman" w:eastAsia="TimesNewRomanPSMT" w:cs="Times New Roman"/>
          <w:b w:val="0"/>
          <w:bCs w:val="0"/>
          <w:snapToGrid w:val="0"/>
          <w:color w:val="auto"/>
          <w:kern w:val="0"/>
          <w:sz w:val="24"/>
          <w:szCs w:val="24"/>
          <w:lang w:val="en-US" w:eastAsia="zh-CN" w:bidi="ar"/>
        </w:rPr>
        <w:t>5</w:t>
      </w:r>
      <w:r>
        <w:rPr>
          <w:rFonts w:hint="default" w:ascii="Times New Roman" w:hAnsi="Times New Roman" w:eastAsia="宋体" w:cs="Times New Roman"/>
          <w:b w:val="0"/>
          <w:bCs w:val="0"/>
          <w:snapToGrid w:val="0"/>
          <w:color w:val="auto"/>
          <w:kern w:val="0"/>
          <w:sz w:val="24"/>
          <w:szCs w:val="24"/>
          <w:lang w:val="en-US" w:eastAsia="zh-CN" w:bidi="ar"/>
        </w:rPr>
        <w:t>月</w:t>
      </w:r>
      <w:r>
        <w:rPr>
          <w:rFonts w:hint="default" w:ascii="Times New Roman" w:hAnsi="Times New Roman" w:eastAsia="TimesNewRomanPSMT" w:cs="Times New Roman"/>
          <w:b w:val="0"/>
          <w:bCs w:val="0"/>
          <w:snapToGrid w:val="0"/>
          <w:color w:val="auto"/>
          <w:kern w:val="0"/>
          <w:sz w:val="24"/>
          <w:szCs w:val="24"/>
          <w:lang w:val="en-US" w:eastAsia="zh-CN" w:bidi="ar"/>
        </w:rPr>
        <w:t>16</w:t>
      </w:r>
      <w:r>
        <w:rPr>
          <w:rFonts w:hint="default" w:ascii="Times New Roman" w:hAnsi="Times New Roman" w:eastAsia="宋体" w:cs="Times New Roman"/>
          <w:b w:val="0"/>
          <w:bCs w:val="0"/>
          <w:snapToGrid w:val="0"/>
          <w:color w:val="auto"/>
          <w:kern w:val="0"/>
          <w:sz w:val="24"/>
          <w:szCs w:val="24"/>
          <w:lang w:val="en-US" w:eastAsia="zh-CN" w:bidi="ar"/>
        </w:rPr>
        <w:t>日印发</w:t>
      </w:r>
      <w:r>
        <w:rPr>
          <w:rFonts w:hint="default" w:ascii="Times New Roman" w:hAnsi="Times New Roman" w:cs="Times New Roman"/>
          <w:b w:val="0"/>
          <w:bCs w:val="0"/>
          <w:snapToGrid w:val="0"/>
          <w:color w:val="auto"/>
          <w:kern w:val="0"/>
          <w:sz w:val="24"/>
          <w:szCs w:val="24"/>
          <w:lang w:val="en-US" w:eastAsia="zh-CN" w:bidi="ar"/>
        </w:rPr>
        <w:t>，</w:t>
      </w:r>
      <w:r>
        <w:rPr>
          <w:rFonts w:hint="default" w:ascii="Times New Roman" w:hAnsi="Times New Roman" w:eastAsia="宋体" w:cs="Times New Roman"/>
          <w:b w:val="0"/>
          <w:bCs w:val="0"/>
          <w:snapToGrid w:val="0"/>
          <w:color w:val="auto"/>
          <w:kern w:val="0"/>
          <w:sz w:val="24"/>
          <w:szCs w:val="24"/>
          <w:lang w:val="en-US" w:eastAsia="zh-CN" w:bidi="ar"/>
        </w:rPr>
        <w:t>公告</w:t>
      </w:r>
      <w:r>
        <w:rPr>
          <w:rFonts w:hint="default" w:ascii="Times New Roman" w:hAnsi="Times New Roman" w:eastAsia="TimesNewRomanPSMT" w:cs="Times New Roman"/>
          <w:b w:val="0"/>
          <w:bCs w:val="0"/>
          <w:snapToGrid w:val="0"/>
          <w:color w:val="auto"/>
          <w:kern w:val="0"/>
          <w:sz w:val="24"/>
          <w:szCs w:val="24"/>
          <w:lang w:val="en-US" w:eastAsia="zh-CN" w:bidi="ar"/>
        </w:rPr>
        <w:t>2018</w:t>
      </w:r>
      <w:r>
        <w:rPr>
          <w:rFonts w:hint="default" w:ascii="Times New Roman" w:hAnsi="Times New Roman" w:eastAsia="宋体" w:cs="Times New Roman"/>
          <w:b w:val="0"/>
          <w:bCs w:val="0"/>
          <w:snapToGrid w:val="0"/>
          <w:color w:val="auto"/>
          <w:kern w:val="0"/>
          <w:sz w:val="24"/>
          <w:szCs w:val="24"/>
          <w:lang w:val="en-US" w:eastAsia="zh-CN" w:bidi="ar"/>
        </w:rPr>
        <w:t>年第</w:t>
      </w:r>
      <w:r>
        <w:rPr>
          <w:rFonts w:hint="default" w:ascii="Times New Roman" w:hAnsi="Times New Roman" w:eastAsia="TimesNewRomanPSMT" w:cs="Times New Roman"/>
          <w:b w:val="0"/>
          <w:bCs w:val="0"/>
          <w:snapToGrid w:val="0"/>
          <w:color w:val="auto"/>
          <w:kern w:val="0"/>
          <w:sz w:val="24"/>
          <w:szCs w:val="24"/>
          <w:lang w:val="en-US" w:eastAsia="zh-CN" w:bidi="ar"/>
        </w:rPr>
        <w:t>9</w:t>
      </w:r>
      <w:r>
        <w:rPr>
          <w:rFonts w:hint="default" w:ascii="Times New Roman" w:hAnsi="Times New Roman" w:eastAsia="宋体" w:cs="Times New Roman"/>
          <w:b w:val="0"/>
          <w:bCs w:val="0"/>
          <w:snapToGrid w:val="0"/>
          <w:color w:val="auto"/>
          <w:kern w:val="0"/>
          <w:sz w:val="24"/>
          <w:szCs w:val="24"/>
          <w:lang w:val="en-US" w:eastAsia="zh-CN" w:bidi="ar"/>
        </w:rPr>
        <w:t>号</w:t>
      </w:r>
      <w:r>
        <w:rPr>
          <w:rFonts w:hint="default" w:ascii="Times New Roman" w:hAnsi="Times New Roman" w:cs="Times New Roman"/>
          <w:b w:val="0"/>
          <w:bCs w:val="0"/>
          <w:snapToGrid w:val="0"/>
          <w:color w:val="auto"/>
          <w:kern w:val="0"/>
          <w:sz w:val="24"/>
          <w:szCs w:val="24"/>
          <w:lang w:val="en-US" w:eastAsia="zh-CN" w:bidi="ar"/>
        </w:rPr>
        <w:t>；</w:t>
      </w:r>
    </w:p>
    <w:p w14:paraId="0A6531B5">
      <w:pPr>
        <w:keepNext w:val="0"/>
        <w:keepLines w:val="0"/>
        <w:widowControl/>
        <w:suppressLineNumbers w:val="0"/>
        <w:jc w:val="left"/>
        <w:rPr>
          <w:rFonts w:hint="default" w:ascii="Times New Roman" w:hAnsi="Times New Roman" w:cs="Times New Roman"/>
          <w:color w:val="auto"/>
          <w:spacing w:val="4"/>
          <w:sz w:val="24"/>
          <w:szCs w:val="24"/>
          <w:lang w:val="en-US" w:eastAsia="zh-CN"/>
        </w:rPr>
      </w:pPr>
      <w:r>
        <w:rPr>
          <w:rFonts w:hint="default" w:ascii="Times New Roman" w:hAnsi="Times New Roman" w:eastAsia="宋体" w:cs="Times New Roman"/>
          <w:snapToGrid w:val="0"/>
          <w:color w:val="auto"/>
          <w:kern w:val="0"/>
          <w:sz w:val="24"/>
          <w:szCs w:val="24"/>
          <w:lang w:val="en-US" w:eastAsia="zh-CN" w:bidi="ar"/>
        </w:rPr>
        <w:t>（2）</w:t>
      </w:r>
      <w:r>
        <w:rPr>
          <w:rFonts w:hint="default" w:ascii="Times New Roman" w:hAnsi="Times New Roman" w:cs="Times New Roman"/>
          <w:color w:val="auto"/>
          <w:spacing w:val="4"/>
          <w:sz w:val="24"/>
          <w:szCs w:val="24"/>
          <w:lang w:val="en-US" w:eastAsia="zh-CN"/>
        </w:rPr>
        <w:t>《污染影响类建设项目重大变动清单（试行）》，环办环评函〔2020〕688号，2020年12月13日</w:t>
      </w:r>
      <w:r>
        <w:rPr>
          <w:rFonts w:hint="eastAsia" w:cs="Times New Roman"/>
          <w:color w:val="auto"/>
          <w:spacing w:val="4"/>
          <w:sz w:val="24"/>
          <w:szCs w:val="24"/>
          <w:lang w:val="en-US" w:eastAsia="zh-CN"/>
        </w:rPr>
        <w:t>；</w:t>
      </w:r>
    </w:p>
    <w:p w14:paraId="23F02812">
      <w:pPr>
        <w:keepNext w:val="0"/>
        <w:keepLines w:val="0"/>
        <w:widowControl/>
        <w:suppressLineNumbers w:val="0"/>
        <w:jc w:val="left"/>
        <w:rPr>
          <w:rFonts w:hint="eastAsia" w:eastAsia="宋体" w:cs="Times New Roman"/>
          <w:color w:val="auto"/>
          <w:spacing w:val="4"/>
          <w:sz w:val="24"/>
          <w:szCs w:val="24"/>
          <w:lang w:val="en-US" w:eastAsia="zh-CN"/>
        </w:rPr>
      </w:pPr>
      <w:r>
        <w:rPr>
          <w:rFonts w:hint="eastAsia" w:cs="Times New Roman"/>
          <w:color w:val="auto"/>
          <w:spacing w:val="4"/>
          <w:sz w:val="24"/>
          <w:szCs w:val="24"/>
          <w:lang w:val="en-US" w:eastAsia="zh-CN"/>
        </w:rPr>
        <w:t>（3）</w:t>
      </w:r>
      <w:r>
        <w:rPr>
          <w:rFonts w:hint="default" w:ascii="Times New Roman" w:hAnsi="Times New Roman" w:cs="Times New Roman"/>
          <w:color w:val="auto"/>
          <w:kern w:val="1"/>
          <w:u w:val="none"/>
        </w:rPr>
        <w:t>《一般工业固</w:t>
      </w:r>
      <w:r>
        <w:rPr>
          <w:rFonts w:hint="default" w:ascii="Times New Roman" w:hAnsi="Times New Roman" w:cs="Times New Roman"/>
          <w:color w:val="auto"/>
          <w:kern w:val="1"/>
          <w:highlight w:val="none"/>
          <w:u w:val="none"/>
        </w:rPr>
        <w:t>体废物贮存和填埋污染控制标准》（GB18599-2020）</w:t>
      </w:r>
      <w:r>
        <w:rPr>
          <w:rFonts w:hint="eastAsia" w:cs="Times New Roman"/>
          <w:color w:val="auto"/>
          <w:kern w:val="1"/>
          <w:highlight w:val="none"/>
          <w:u w:val="none"/>
          <w:lang w:eastAsia="zh-CN"/>
        </w:rPr>
        <w:t>；</w:t>
      </w:r>
    </w:p>
    <w:p w14:paraId="1D6C43AE">
      <w:pPr>
        <w:keepNext w:val="0"/>
        <w:keepLines w:val="0"/>
        <w:widowControl/>
        <w:suppressLineNumbers w:val="0"/>
        <w:jc w:val="left"/>
        <w:rPr>
          <w:rFonts w:hint="eastAsia" w:cs="Times New Roman"/>
          <w:color w:val="auto"/>
          <w:spacing w:val="4"/>
          <w:sz w:val="24"/>
          <w:szCs w:val="24"/>
          <w:lang w:val="en-US" w:eastAsia="zh-CN"/>
        </w:rPr>
      </w:pPr>
      <w:r>
        <w:rPr>
          <w:rFonts w:hint="eastAsia" w:cs="Times New Roman"/>
          <w:color w:val="auto"/>
          <w:spacing w:val="4"/>
          <w:sz w:val="24"/>
          <w:szCs w:val="24"/>
          <w:lang w:val="en-US" w:eastAsia="zh-CN"/>
        </w:rPr>
        <w:t>（4）《国家危险废物名录》（2021版）；</w:t>
      </w:r>
    </w:p>
    <w:p w14:paraId="1CCA8100">
      <w:pPr>
        <w:keepNext w:val="0"/>
        <w:keepLines w:val="0"/>
        <w:widowControl/>
        <w:suppressLineNumbers w:val="0"/>
        <w:jc w:val="left"/>
        <w:rPr>
          <w:rFonts w:hint="default" w:ascii="Times New Roman" w:hAnsi="Times New Roman" w:cs="Times New Roman"/>
          <w:color w:val="auto"/>
          <w:spacing w:val="4"/>
          <w:sz w:val="24"/>
          <w:szCs w:val="24"/>
          <w:lang w:val="en-US" w:eastAsia="zh-CN"/>
        </w:rPr>
      </w:pPr>
      <w:r>
        <w:rPr>
          <w:rFonts w:hint="eastAsia" w:cs="Times New Roman"/>
          <w:color w:val="auto"/>
          <w:spacing w:val="4"/>
          <w:sz w:val="24"/>
          <w:szCs w:val="24"/>
          <w:lang w:val="en-US" w:eastAsia="zh-CN"/>
        </w:rPr>
        <w:t>（5）《危险废物贮存污染控制标准》（GB18597-2023）；</w:t>
      </w:r>
    </w:p>
    <w:p w14:paraId="12A0C52C">
      <w:pPr>
        <w:keepNext w:val="0"/>
        <w:keepLines w:val="0"/>
        <w:widowControl/>
        <w:suppressLineNumbers w:val="0"/>
        <w:jc w:val="left"/>
        <w:rPr>
          <w:rFonts w:hint="eastAsia" w:cs="Times New Roman"/>
          <w:color w:val="auto"/>
          <w:lang w:eastAsia="zh-CN"/>
        </w:rPr>
      </w:pPr>
      <w:r>
        <w:rPr>
          <w:rFonts w:hint="eastAsia" w:cs="Times New Roman"/>
          <w:color w:val="auto"/>
          <w:spacing w:val="4"/>
          <w:sz w:val="24"/>
          <w:szCs w:val="24"/>
          <w:lang w:val="en-US" w:eastAsia="zh-CN"/>
        </w:rPr>
        <w:t>（6）</w:t>
      </w:r>
      <w:r>
        <w:rPr>
          <w:rFonts w:hint="default" w:ascii="Times New Roman" w:hAnsi="Times New Roman" w:cs="Times New Roman"/>
          <w:color w:val="auto"/>
        </w:rPr>
        <w:t>《生活垃圾焚烧飞灰固化稳定化处理技术标准》</w:t>
      </w:r>
      <w:r>
        <w:rPr>
          <w:rFonts w:hint="default" w:ascii="Times New Roman" w:hAnsi="Times New Roman" w:cs="Times New Roman"/>
          <w:color w:val="auto"/>
          <w:lang w:eastAsia="zh-CN"/>
        </w:rPr>
        <w:t>（CJJ/T316-2023）</w:t>
      </w:r>
      <w:r>
        <w:rPr>
          <w:rFonts w:hint="eastAsia" w:cs="Times New Roman"/>
          <w:color w:val="auto"/>
          <w:lang w:eastAsia="zh-CN"/>
        </w:rPr>
        <w:t>，</w:t>
      </w:r>
      <w:r>
        <w:rPr>
          <w:rFonts w:hint="default" w:ascii="Times New Roman" w:hAnsi="Times New Roman" w:cs="Times New Roman"/>
          <w:color w:val="auto"/>
          <w:lang w:eastAsia="zh-CN"/>
        </w:rPr>
        <w:t>2024年1月1日实施</w:t>
      </w:r>
      <w:r>
        <w:rPr>
          <w:rFonts w:hint="eastAsia" w:cs="Times New Roman"/>
          <w:color w:val="auto"/>
          <w:lang w:eastAsia="zh-CN"/>
        </w:rPr>
        <w:t>；</w:t>
      </w:r>
    </w:p>
    <w:p w14:paraId="40FDB8AF">
      <w:pPr>
        <w:keepNext w:val="0"/>
        <w:keepLines w:val="0"/>
        <w:widowControl/>
        <w:suppressLineNumbers w:val="0"/>
        <w:jc w:val="left"/>
        <w:rPr>
          <w:rFonts w:hint="eastAsia" w:eastAsia="宋体" w:cs="Times New Roman"/>
          <w:color w:val="auto"/>
          <w:lang w:val="en-US" w:eastAsia="zh-CN"/>
        </w:rPr>
      </w:pPr>
      <w:r>
        <w:rPr>
          <w:rFonts w:hint="eastAsia" w:cs="Times New Roman"/>
          <w:color w:val="auto"/>
          <w:lang w:eastAsia="zh-CN"/>
        </w:rPr>
        <w:t>（</w:t>
      </w:r>
      <w:r>
        <w:rPr>
          <w:rFonts w:hint="eastAsia" w:cs="Times New Roman"/>
          <w:color w:val="auto"/>
          <w:lang w:val="en-US" w:eastAsia="zh-CN"/>
        </w:rPr>
        <w:t>7</w:t>
      </w:r>
      <w:r>
        <w:rPr>
          <w:rFonts w:hint="eastAsia" w:cs="Times New Roman"/>
          <w:color w:val="auto"/>
          <w:lang w:eastAsia="zh-CN"/>
        </w:rPr>
        <w:t>）</w:t>
      </w:r>
      <w:r>
        <w:rPr>
          <w:rFonts w:hint="default" w:ascii="Times New Roman" w:hAnsi="Times New Roman" w:cs="Times New Roman"/>
          <w:color w:val="auto"/>
          <w:kern w:val="1"/>
          <w:highlight w:val="none"/>
          <w:u w:val="none"/>
        </w:rPr>
        <w:t>《生活垃圾填埋场污染控制标准》（</w:t>
      </w:r>
      <w:r>
        <w:rPr>
          <w:rFonts w:hint="default" w:ascii="Times New Roman" w:hAnsi="Times New Roman" w:cs="Times New Roman"/>
          <w:color w:val="auto"/>
          <w:kern w:val="1"/>
          <w:highlight w:val="none"/>
          <w:u w:val="none"/>
          <w:lang w:eastAsia="zh-CN"/>
        </w:rPr>
        <w:t>GB16889-2024</w:t>
      </w:r>
      <w:r>
        <w:rPr>
          <w:rFonts w:hint="default" w:ascii="Times New Roman" w:hAnsi="Times New Roman" w:cs="Times New Roman"/>
          <w:color w:val="auto"/>
          <w:kern w:val="1"/>
          <w:highlight w:val="none"/>
          <w:u w:val="none"/>
        </w:rPr>
        <w:t>）</w:t>
      </w:r>
      <w:r>
        <w:rPr>
          <w:rFonts w:hint="eastAsia" w:cs="Times New Roman"/>
          <w:color w:val="auto"/>
          <w:kern w:val="1"/>
          <w:highlight w:val="none"/>
          <w:u w:val="none"/>
          <w:lang w:eastAsia="zh-CN"/>
        </w:rPr>
        <w:t>，</w:t>
      </w:r>
      <w:r>
        <w:rPr>
          <w:rFonts w:hint="default" w:ascii="Times New Roman" w:hAnsi="Times New Roman" w:cs="Times New Roman"/>
          <w:color w:val="auto"/>
          <w:lang w:eastAsia="zh-CN"/>
        </w:rPr>
        <w:t>2024年</w:t>
      </w:r>
      <w:r>
        <w:rPr>
          <w:rFonts w:hint="eastAsia" w:cs="Times New Roman"/>
          <w:color w:val="auto"/>
          <w:lang w:val="en-US" w:eastAsia="zh-CN"/>
        </w:rPr>
        <w:t>9</w:t>
      </w:r>
      <w:r>
        <w:rPr>
          <w:rFonts w:hint="default" w:ascii="Times New Roman" w:hAnsi="Times New Roman" w:cs="Times New Roman"/>
          <w:color w:val="auto"/>
          <w:lang w:eastAsia="zh-CN"/>
        </w:rPr>
        <w:t>月1日实施</w:t>
      </w:r>
      <w:r>
        <w:rPr>
          <w:rFonts w:hint="eastAsia" w:cs="Times New Roman"/>
          <w:color w:val="auto"/>
          <w:lang w:eastAsia="zh-CN"/>
        </w:rPr>
        <w:t>；</w:t>
      </w:r>
    </w:p>
    <w:p w14:paraId="76A0729F">
      <w:pPr>
        <w:keepNext w:val="0"/>
        <w:keepLines w:val="0"/>
        <w:widowControl/>
        <w:suppressLineNumbers w:val="0"/>
        <w:jc w:val="left"/>
        <w:rPr>
          <w:rFonts w:hint="eastAsia" w:eastAsia="宋体" w:cs="Times New Roman"/>
          <w:color w:val="auto"/>
          <w:spacing w:val="4"/>
          <w:sz w:val="24"/>
          <w:szCs w:val="24"/>
          <w:lang w:val="en-US" w:eastAsia="zh-CN"/>
        </w:rPr>
      </w:pPr>
      <w:r>
        <w:rPr>
          <w:rFonts w:hint="eastAsia" w:cs="Times New Roman"/>
          <w:color w:val="auto"/>
          <w:lang w:eastAsia="zh-CN"/>
        </w:rPr>
        <w:t>（</w:t>
      </w:r>
      <w:r>
        <w:rPr>
          <w:rFonts w:hint="eastAsia" w:cs="Times New Roman"/>
          <w:color w:val="auto"/>
          <w:lang w:val="en-US" w:eastAsia="zh-CN"/>
        </w:rPr>
        <w:t>8</w:t>
      </w:r>
      <w:r>
        <w:rPr>
          <w:rFonts w:hint="eastAsia" w:cs="Times New Roman"/>
          <w:color w:val="auto"/>
          <w:lang w:eastAsia="zh-CN"/>
        </w:rPr>
        <w:t>）</w:t>
      </w:r>
      <w:r>
        <w:rPr>
          <w:rFonts w:hint="default" w:ascii="Times New Roman" w:hAnsi="Times New Roman" w:cs="Times New Roman"/>
          <w:color w:val="auto"/>
          <w:kern w:val="1"/>
          <w:u w:val="none"/>
        </w:rPr>
        <w:t>《生活垃圾焚烧飞灰污染控制技术规范(试行)》（HJ1134-2020）</w:t>
      </w:r>
      <w:r>
        <w:rPr>
          <w:rFonts w:hint="eastAsia" w:cs="Times New Roman"/>
          <w:color w:val="auto"/>
          <w:kern w:val="1"/>
          <w:u w:val="none"/>
          <w:lang w:eastAsia="zh-CN"/>
        </w:rPr>
        <w:t>。</w:t>
      </w:r>
    </w:p>
    <w:p w14:paraId="222C9C9B">
      <w:pPr>
        <w:pStyle w:val="3"/>
        <w:bidi w:val="0"/>
        <w:rPr>
          <w:rFonts w:hint="default" w:ascii="Times New Roman" w:hAnsi="Times New Roman" w:cs="Times New Roman"/>
          <w:color w:val="auto"/>
        </w:rPr>
      </w:pPr>
      <w:bookmarkStart w:id="11" w:name="_Toc25794"/>
      <w:r>
        <w:rPr>
          <w:rFonts w:hint="default" w:ascii="Times New Roman" w:hAnsi="Times New Roman" w:cs="Times New Roman"/>
          <w:color w:val="auto"/>
        </w:rPr>
        <w:t>2.3建设项目环境影响报告书（表）及其审批部门决定</w:t>
      </w:r>
      <w:bookmarkEnd w:id="11"/>
    </w:p>
    <w:p w14:paraId="19A4C8BB">
      <w:pPr>
        <w:keepNext w:val="0"/>
        <w:keepLines w:val="0"/>
        <w:widowControl/>
        <w:suppressLineNumbers w:val="0"/>
        <w:spacing w:beforeLines="0" w:afterLines="0" w:line="360" w:lineRule="auto"/>
        <w:ind w:firstLine="480" w:firstLineChars="200"/>
        <w:jc w:val="left"/>
        <w:rPr>
          <w:rFonts w:hint="default" w:ascii="Times New Roman" w:hAnsi="Times New Roman" w:eastAsia="宋体" w:cs="Times New Roman"/>
          <w:b w:val="0"/>
          <w:bCs w:val="0"/>
          <w:snapToGrid w:val="0"/>
          <w:color w:val="auto"/>
          <w:kern w:val="0"/>
          <w:sz w:val="24"/>
          <w:szCs w:val="24"/>
          <w:lang w:val="en-US" w:eastAsia="zh-CN" w:bidi="ar"/>
        </w:rPr>
      </w:pPr>
      <w:r>
        <w:rPr>
          <w:rFonts w:hint="default" w:ascii="Times New Roman" w:hAnsi="Times New Roman" w:cs="Times New Roman"/>
          <w:b w:val="0"/>
          <w:bCs w:val="0"/>
          <w:snapToGrid w:val="0"/>
          <w:color w:val="auto"/>
          <w:kern w:val="0"/>
          <w:sz w:val="24"/>
          <w:szCs w:val="24"/>
          <w:lang w:val="en-US" w:eastAsia="zh-CN" w:bidi="ar"/>
        </w:rPr>
        <w:t>（1）《</w:t>
      </w:r>
      <w:r>
        <w:rPr>
          <w:rFonts w:hint="default" w:ascii="Times New Roman" w:hAnsi="Times New Roman" w:cs="Times New Roman"/>
          <w:color w:val="auto"/>
          <w:u w:val="none"/>
          <w:lang w:eastAsia="zh-CN"/>
        </w:rPr>
        <w:t>福州市红庙岭垃圾焚烧发电厂飞灰稳定化预处理扩建工程BOT项目（二期）</w:t>
      </w:r>
      <w:r>
        <w:rPr>
          <w:rFonts w:hint="default" w:ascii="Times New Roman" w:hAnsi="Times New Roman" w:cs="Times New Roman"/>
          <w:color w:val="auto"/>
          <w:u w:val="none"/>
          <w:lang w:val="en-US" w:eastAsia="zh-CN"/>
        </w:rPr>
        <w:t>环境影响报告书</w:t>
      </w:r>
      <w:r>
        <w:rPr>
          <w:rFonts w:hint="default" w:ascii="Times New Roman" w:hAnsi="Times New Roman" w:cs="Times New Roman"/>
          <w:b w:val="0"/>
          <w:bCs w:val="0"/>
          <w:snapToGrid w:val="0"/>
          <w:color w:val="auto"/>
          <w:kern w:val="0"/>
          <w:sz w:val="24"/>
          <w:szCs w:val="24"/>
          <w:lang w:val="en-US" w:eastAsia="zh-CN" w:bidi="ar"/>
        </w:rPr>
        <w:t>》（福建省环境保护股份公司，</w:t>
      </w:r>
      <w:r>
        <w:rPr>
          <w:rFonts w:hint="default" w:ascii="Times New Roman" w:hAnsi="Times New Roman" w:eastAsia="TimesNewRomanPSMT" w:cs="Times New Roman"/>
          <w:b w:val="0"/>
          <w:bCs w:val="0"/>
          <w:snapToGrid w:val="0"/>
          <w:color w:val="auto"/>
          <w:kern w:val="0"/>
          <w:sz w:val="24"/>
          <w:szCs w:val="24"/>
          <w:lang w:val="en-US" w:eastAsia="zh-CN" w:bidi="ar"/>
        </w:rPr>
        <w:t>2022</w:t>
      </w:r>
      <w:r>
        <w:rPr>
          <w:rFonts w:hint="default" w:ascii="Times New Roman" w:hAnsi="Times New Roman" w:eastAsia="宋体" w:cs="Times New Roman"/>
          <w:b w:val="0"/>
          <w:bCs w:val="0"/>
          <w:snapToGrid w:val="0"/>
          <w:color w:val="auto"/>
          <w:kern w:val="0"/>
          <w:sz w:val="24"/>
          <w:szCs w:val="24"/>
          <w:lang w:val="en-US" w:eastAsia="zh-CN" w:bidi="ar"/>
        </w:rPr>
        <w:t>年</w:t>
      </w:r>
      <w:r>
        <w:rPr>
          <w:rFonts w:hint="default" w:ascii="Times New Roman" w:hAnsi="Times New Roman" w:eastAsia="TimesNewRomanPSMT" w:cs="Times New Roman"/>
          <w:b w:val="0"/>
          <w:bCs w:val="0"/>
          <w:snapToGrid w:val="0"/>
          <w:color w:val="auto"/>
          <w:kern w:val="0"/>
          <w:sz w:val="24"/>
          <w:szCs w:val="24"/>
          <w:lang w:val="en-US" w:eastAsia="zh-CN" w:bidi="ar"/>
        </w:rPr>
        <w:t>2</w:t>
      </w:r>
      <w:r>
        <w:rPr>
          <w:rFonts w:hint="default" w:ascii="Times New Roman" w:hAnsi="Times New Roman" w:eastAsia="宋体" w:cs="Times New Roman"/>
          <w:b w:val="0"/>
          <w:bCs w:val="0"/>
          <w:snapToGrid w:val="0"/>
          <w:color w:val="auto"/>
          <w:kern w:val="0"/>
          <w:sz w:val="24"/>
          <w:szCs w:val="24"/>
          <w:lang w:val="en-US" w:eastAsia="zh-CN" w:bidi="ar"/>
        </w:rPr>
        <w:t>月</w:t>
      </w:r>
      <w:r>
        <w:rPr>
          <w:rFonts w:hint="default" w:ascii="Times New Roman" w:hAnsi="Times New Roman" w:cs="Times New Roman"/>
          <w:b w:val="0"/>
          <w:bCs w:val="0"/>
          <w:snapToGrid w:val="0"/>
          <w:color w:val="auto"/>
          <w:kern w:val="0"/>
          <w:sz w:val="24"/>
          <w:szCs w:val="24"/>
          <w:lang w:val="en-US" w:eastAsia="zh-CN" w:bidi="ar"/>
        </w:rPr>
        <w:t>）；</w:t>
      </w:r>
    </w:p>
    <w:p w14:paraId="50A33E94">
      <w:pPr>
        <w:keepNext w:val="0"/>
        <w:keepLines w:val="0"/>
        <w:widowControl/>
        <w:suppressLineNumbers w:val="0"/>
        <w:spacing w:beforeLines="0" w:afterLines="0" w:line="360" w:lineRule="auto"/>
        <w:ind w:firstLine="480" w:firstLineChars="200"/>
        <w:jc w:val="left"/>
        <w:rPr>
          <w:rFonts w:hint="default" w:ascii="Times New Roman" w:hAnsi="Times New Roman" w:cs="Times New Roman"/>
          <w:color w:val="auto"/>
        </w:rPr>
      </w:pPr>
      <w:r>
        <w:rPr>
          <w:rFonts w:hint="default" w:ascii="Times New Roman" w:hAnsi="Times New Roman" w:eastAsia="宋体" w:cs="Times New Roman"/>
          <w:b w:val="0"/>
          <w:bCs w:val="0"/>
          <w:snapToGrid w:val="0"/>
          <w:color w:val="auto"/>
          <w:kern w:val="0"/>
          <w:sz w:val="24"/>
          <w:szCs w:val="24"/>
          <w:lang w:val="en-US" w:eastAsia="zh-CN" w:bidi="ar"/>
        </w:rPr>
        <w:t>（</w:t>
      </w:r>
      <w:r>
        <w:rPr>
          <w:rFonts w:hint="default" w:ascii="Times New Roman" w:hAnsi="Times New Roman" w:eastAsia="TimesNewRomanPSMT" w:cs="Times New Roman"/>
          <w:b w:val="0"/>
          <w:bCs w:val="0"/>
          <w:snapToGrid w:val="0"/>
          <w:color w:val="auto"/>
          <w:kern w:val="0"/>
          <w:sz w:val="24"/>
          <w:szCs w:val="24"/>
          <w:lang w:val="en-US" w:eastAsia="zh-CN" w:bidi="ar"/>
        </w:rPr>
        <w:t>2</w:t>
      </w:r>
      <w:r>
        <w:rPr>
          <w:rFonts w:hint="default" w:ascii="Times New Roman" w:hAnsi="Times New Roman" w:eastAsia="宋体" w:cs="Times New Roman"/>
          <w:b w:val="0"/>
          <w:bCs w:val="0"/>
          <w:snapToGrid w:val="0"/>
          <w:color w:val="auto"/>
          <w:kern w:val="0"/>
          <w:sz w:val="24"/>
          <w:szCs w:val="24"/>
          <w:lang w:val="en-US" w:eastAsia="zh-CN" w:bidi="ar"/>
        </w:rPr>
        <w:t>）《关于福州市红庙岭垃圾焚烧发电厂飞灰稳定化预处理扩建工程</w:t>
      </w:r>
      <w:r>
        <w:rPr>
          <w:rFonts w:hint="default" w:ascii="Times New Roman" w:hAnsi="Times New Roman" w:eastAsia="TimesNewRomanPSMT" w:cs="Times New Roman"/>
          <w:b w:val="0"/>
          <w:bCs w:val="0"/>
          <w:snapToGrid w:val="0"/>
          <w:color w:val="auto"/>
          <w:kern w:val="0"/>
          <w:sz w:val="24"/>
          <w:szCs w:val="24"/>
          <w:lang w:val="en-US" w:eastAsia="zh-CN" w:bidi="ar"/>
        </w:rPr>
        <w:t>BOT</w:t>
      </w:r>
      <w:r>
        <w:rPr>
          <w:rFonts w:hint="default" w:ascii="Times New Roman" w:hAnsi="Times New Roman" w:eastAsia="宋体" w:cs="Times New Roman"/>
          <w:b w:val="0"/>
          <w:bCs w:val="0"/>
          <w:snapToGrid w:val="0"/>
          <w:color w:val="auto"/>
          <w:kern w:val="0"/>
          <w:sz w:val="24"/>
          <w:szCs w:val="24"/>
          <w:lang w:val="en-US" w:eastAsia="zh-CN" w:bidi="ar"/>
        </w:rPr>
        <w:t>项目（二期）环境影响报告书的审批意见》</w:t>
      </w:r>
      <w:r>
        <w:rPr>
          <w:rFonts w:hint="default" w:ascii="Times New Roman" w:hAnsi="Times New Roman" w:cs="Times New Roman"/>
          <w:b w:val="0"/>
          <w:bCs w:val="0"/>
          <w:snapToGrid w:val="0"/>
          <w:color w:val="auto"/>
          <w:kern w:val="0"/>
          <w:sz w:val="24"/>
          <w:szCs w:val="24"/>
          <w:lang w:val="en-US" w:eastAsia="zh-CN" w:bidi="ar"/>
        </w:rPr>
        <w:t>榕环评〔2022〕7号</w:t>
      </w:r>
      <w:r>
        <w:rPr>
          <w:rFonts w:hint="default" w:ascii="Times New Roman" w:hAnsi="Times New Roman" w:eastAsia="宋体" w:cs="Times New Roman"/>
          <w:b w:val="0"/>
          <w:bCs w:val="0"/>
          <w:snapToGrid w:val="0"/>
          <w:color w:val="auto"/>
          <w:kern w:val="0"/>
          <w:sz w:val="24"/>
          <w:szCs w:val="24"/>
          <w:lang w:val="en-US" w:eastAsia="zh-CN" w:bidi="ar"/>
        </w:rPr>
        <w:t>（福州市生态环境局，</w:t>
      </w:r>
      <w:r>
        <w:rPr>
          <w:rFonts w:hint="default" w:ascii="Times New Roman" w:hAnsi="Times New Roman" w:eastAsia="TimesNewRomanPSMT" w:cs="Times New Roman"/>
          <w:b w:val="0"/>
          <w:bCs w:val="0"/>
          <w:snapToGrid w:val="0"/>
          <w:color w:val="auto"/>
          <w:kern w:val="0"/>
          <w:sz w:val="24"/>
          <w:szCs w:val="24"/>
          <w:lang w:val="en-US" w:eastAsia="zh-CN" w:bidi="ar"/>
        </w:rPr>
        <w:t>2022</w:t>
      </w:r>
      <w:r>
        <w:rPr>
          <w:rFonts w:hint="default" w:ascii="Times New Roman" w:hAnsi="Times New Roman" w:eastAsia="宋体" w:cs="Times New Roman"/>
          <w:b w:val="0"/>
          <w:bCs w:val="0"/>
          <w:snapToGrid w:val="0"/>
          <w:color w:val="auto"/>
          <w:kern w:val="0"/>
          <w:sz w:val="24"/>
          <w:szCs w:val="24"/>
          <w:lang w:val="en-US" w:eastAsia="zh-CN" w:bidi="ar"/>
        </w:rPr>
        <w:t>年</w:t>
      </w:r>
      <w:r>
        <w:rPr>
          <w:rFonts w:hint="default" w:ascii="Times New Roman" w:hAnsi="Times New Roman" w:eastAsia="TimesNewRomanPSMT" w:cs="Times New Roman"/>
          <w:b w:val="0"/>
          <w:bCs w:val="0"/>
          <w:snapToGrid w:val="0"/>
          <w:color w:val="auto"/>
          <w:kern w:val="0"/>
          <w:sz w:val="24"/>
          <w:szCs w:val="24"/>
          <w:lang w:val="en-US" w:eastAsia="zh-CN" w:bidi="ar"/>
        </w:rPr>
        <w:t>3</w:t>
      </w:r>
      <w:r>
        <w:rPr>
          <w:rFonts w:hint="default" w:ascii="Times New Roman" w:hAnsi="Times New Roman" w:eastAsia="宋体" w:cs="Times New Roman"/>
          <w:b w:val="0"/>
          <w:bCs w:val="0"/>
          <w:snapToGrid w:val="0"/>
          <w:color w:val="auto"/>
          <w:kern w:val="0"/>
          <w:sz w:val="24"/>
          <w:szCs w:val="24"/>
          <w:lang w:val="en-US" w:eastAsia="zh-CN" w:bidi="ar"/>
        </w:rPr>
        <w:t>月</w:t>
      </w:r>
      <w:r>
        <w:rPr>
          <w:rFonts w:hint="default" w:ascii="Times New Roman" w:hAnsi="Times New Roman" w:eastAsia="TimesNewRomanPSMT" w:cs="Times New Roman"/>
          <w:b w:val="0"/>
          <w:bCs w:val="0"/>
          <w:snapToGrid w:val="0"/>
          <w:color w:val="auto"/>
          <w:kern w:val="0"/>
          <w:sz w:val="24"/>
          <w:szCs w:val="24"/>
          <w:lang w:val="en-US" w:eastAsia="zh-CN" w:bidi="ar"/>
        </w:rPr>
        <w:t>11</w:t>
      </w:r>
      <w:r>
        <w:rPr>
          <w:rFonts w:hint="default" w:ascii="Times New Roman" w:hAnsi="Times New Roman" w:eastAsia="宋体" w:cs="Times New Roman"/>
          <w:b w:val="0"/>
          <w:bCs w:val="0"/>
          <w:snapToGrid w:val="0"/>
          <w:color w:val="auto"/>
          <w:kern w:val="0"/>
          <w:sz w:val="24"/>
          <w:szCs w:val="24"/>
          <w:lang w:val="en-US" w:eastAsia="zh-CN" w:bidi="ar"/>
        </w:rPr>
        <w:t>日）。</w:t>
      </w:r>
    </w:p>
    <w:p w14:paraId="4FD7F968">
      <w:pPr>
        <w:pStyle w:val="3"/>
        <w:bidi w:val="0"/>
        <w:rPr>
          <w:rFonts w:hint="default" w:ascii="Times New Roman" w:hAnsi="Times New Roman" w:cs="Times New Roman"/>
          <w:color w:val="auto"/>
        </w:rPr>
      </w:pPr>
      <w:bookmarkStart w:id="12" w:name="_Toc5018"/>
      <w:r>
        <w:rPr>
          <w:rFonts w:hint="default" w:ascii="Times New Roman" w:hAnsi="Times New Roman" w:cs="Times New Roman"/>
          <w:color w:val="auto"/>
        </w:rPr>
        <w:t>2.4其他相关文件</w:t>
      </w:r>
      <w:bookmarkEnd w:id="12"/>
    </w:p>
    <w:p w14:paraId="66BE4CE4">
      <w:pPr>
        <w:keepNext w:val="0"/>
        <w:keepLines w:val="0"/>
        <w:widowControl/>
        <w:suppressLineNumbers w:val="0"/>
        <w:spacing w:beforeLines="0" w:afterLines="0" w:line="360" w:lineRule="auto"/>
        <w:ind w:firstLine="480" w:firstLineChars="200"/>
        <w:jc w:val="left"/>
        <w:rPr>
          <w:rFonts w:hint="default" w:ascii="Times New Roman" w:hAnsi="Times New Roman" w:cs="Times New Roman"/>
          <w:color w:val="auto"/>
        </w:rPr>
      </w:pPr>
      <w:r>
        <w:rPr>
          <w:rFonts w:hint="default" w:ascii="Times New Roman" w:hAnsi="Times New Roman" w:eastAsia="宋体" w:cs="Times New Roman"/>
          <w:b w:val="0"/>
          <w:bCs w:val="0"/>
          <w:snapToGrid w:val="0"/>
          <w:color w:val="auto"/>
          <w:kern w:val="0"/>
          <w:sz w:val="24"/>
          <w:szCs w:val="24"/>
          <w:lang w:val="en-US" w:eastAsia="zh-CN" w:bidi="ar"/>
        </w:rPr>
        <w:t>（</w:t>
      </w:r>
      <w:r>
        <w:rPr>
          <w:rFonts w:hint="default" w:ascii="Times New Roman" w:hAnsi="Times New Roman" w:eastAsia="TimesNewRomanPSMT" w:cs="Times New Roman"/>
          <w:b w:val="0"/>
          <w:bCs w:val="0"/>
          <w:snapToGrid w:val="0"/>
          <w:color w:val="auto"/>
          <w:kern w:val="0"/>
          <w:sz w:val="24"/>
          <w:szCs w:val="24"/>
          <w:lang w:val="en-US" w:eastAsia="zh-CN" w:bidi="ar"/>
        </w:rPr>
        <w:t>1</w:t>
      </w:r>
      <w:r>
        <w:rPr>
          <w:rFonts w:hint="default" w:ascii="Times New Roman" w:hAnsi="Times New Roman" w:eastAsia="宋体" w:cs="Times New Roman"/>
          <w:b w:val="0"/>
          <w:bCs w:val="0"/>
          <w:snapToGrid w:val="0"/>
          <w:color w:val="auto"/>
          <w:kern w:val="0"/>
          <w:sz w:val="24"/>
          <w:szCs w:val="24"/>
          <w:lang w:val="en-US" w:eastAsia="zh-CN" w:bidi="ar"/>
        </w:rPr>
        <w:t>）</w:t>
      </w:r>
      <w:r>
        <w:rPr>
          <w:rFonts w:hint="default" w:ascii="Times New Roman" w:hAnsi="Times New Roman" w:cs="Times New Roman"/>
          <w:b w:val="0"/>
          <w:bCs w:val="0"/>
          <w:snapToGrid w:val="0"/>
          <w:color w:val="auto"/>
          <w:kern w:val="0"/>
          <w:sz w:val="24"/>
          <w:szCs w:val="24"/>
          <w:lang w:val="en-US" w:eastAsia="zh-CN" w:bidi="ar"/>
        </w:rPr>
        <w:t>《福州市大新飞灰处理有限公司突发环境事件应急预案》（备案编号：350111-2024-003-L）。</w:t>
      </w:r>
    </w:p>
    <w:p w14:paraId="6103DDFC">
      <w:pPr>
        <w:pStyle w:val="2"/>
        <w:bidi w:val="0"/>
        <w:rPr>
          <w:rFonts w:hint="default" w:ascii="Times New Roman" w:hAnsi="Times New Roman" w:cs="Times New Roman"/>
          <w:color w:val="auto"/>
        </w:rPr>
      </w:pPr>
      <w:bookmarkStart w:id="13" w:name="_Toc13097"/>
      <w:r>
        <w:rPr>
          <w:rFonts w:hint="default" w:ascii="Times New Roman" w:hAnsi="Times New Roman" w:cs="Times New Roman"/>
          <w:color w:val="auto"/>
        </w:rPr>
        <w:t>3项目建设情况</w:t>
      </w:r>
      <w:bookmarkEnd w:id="13"/>
    </w:p>
    <w:p w14:paraId="0C7638D4">
      <w:pPr>
        <w:pStyle w:val="3"/>
        <w:keepNext/>
        <w:keepLines/>
        <w:pageBreakBefore w:val="0"/>
        <w:widowControl/>
        <w:kinsoku w:val="0"/>
        <w:wordWrap/>
        <w:overflowPunct/>
        <w:topLinePunct w:val="0"/>
        <w:autoSpaceDE/>
        <w:autoSpaceDN/>
        <w:bidi w:val="0"/>
        <w:adjustRightInd w:val="0"/>
        <w:snapToGrid w:val="0"/>
        <w:textAlignment w:val="baseline"/>
        <w:rPr>
          <w:rFonts w:hint="default" w:ascii="Times New Roman" w:hAnsi="Times New Roman" w:cs="Times New Roman"/>
          <w:color w:val="auto"/>
        </w:rPr>
      </w:pPr>
      <w:bookmarkStart w:id="14" w:name="_Toc10282"/>
      <w:r>
        <w:rPr>
          <w:rFonts w:hint="default" w:ascii="Times New Roman" w:hAnsi="Times New Roman" w:cs="Times New Roman"/>
          <w:color w:val="auto"/>
        </w:rPr>
        <w:t>3.1地理位置及厂区平面布置</w:t>
      </w:r>
      <w:bookmarkEnd w:id="14"/>
    </w:p>
    <w:p w14:paraId="62E4E633">
      <w:pPr>
        <w:bidi w:val="0"/>
        <w:rPr>
          <w:rFonts w:hint="default" w:ascii="Times New Roman" w:hAnsi="Times New Roman" w:cs="Times New Roman"/>
          <w:color w:val="auto"/>
        </w:rPr>
      </w:pPr>
      <w:r>
        <w:rPr>
          <w:rFonts w:hint="default" w:ascii="Times New Roman" w:hAnsi="Times New Roman" w:eastAsia="宋体" w:cs="Times New Roman"/>
          <w:snapToGrid w:val="0"/>
          <w:color w:val="auto"/>
          <w:kern w:val="0"/>
          <w:sz w:val="24"/>
          <w:szCs w:val="24"/>
          <w:lang w:val="en-US" w:eastAsia="zh-CN" w:bidi="ar"/>
        </w:rPr>
        <w:t>本项目位于福州市晋安区岭头村福州市红庙岭循环经济产业园，北纬26°10′39.671″，东经119°17′42.680″，海拔480m，离福州城区3.6km，南面距福州国家森林公园2.5km，</w:t>
      </w:r>
      <w:r>
        <w:rPr>
          <w:rFonts w:hint="default" w:ascii="Times New Roman" w:hAnsi="Times New Roman" w:cs="Times New Roman"/>
          <w:color w:val="auto"/>
          <w:lang w:val="en-US" w:eastAsia="zh-CN"/>
        </w:rPr>
        <w:t>项目地理位置图见图3.1-1，根据《福州市红庙岭循环经济生态产业园》规划中</w:t>
      </w:r>
      <w:r>
        <w:rPr>
          <w:rFonts w:hint="eastAsia" w:cs="Times New Roman"/>
          <w:color w:val="auto"/>
          <w:lang w:val="en-US" w:eastAsia="zh-CN"/>
        </w:rPr>
        <w:t>“</w:t>
      </w:r>
      <w:r>
        <w:rPr>
          <w:rFonts w:hint="default" w:ascii="Times New Roman" w:hAnsi="Times New Roman" w:cs="Times New Roman"/>
          <w:color w:val="auto"/>
          <w:lang w:val="en-US" w:eastAsia="zh-CN"/>
        </w:rPr>
        <w:t>园区功能区及项目规划—6.3资源化处理区：资源化处理区采用先进的技术和工艺处理对生活垃圾、餐厨垃圾、危废和医疗垃圾等各类固体废弃物进行无害化、资源化、减量化处理，同时，加强园区内各设施之间的物质循环与能量循环，达到节能减排的效果。垃圾渗滤液处理厂、飞灰安全处理项目等其他配套设施对园区内各设施产生的废水、飞灰、残渣进行最终处置。资源化处理区规划位于园区中部。</w:t>
      </w:r>
      <w:r>
        <w:rPr>
          <w:rFonts w:hint="eastAsia" w:cs="Times New Roman"/>
          <w:color w:val="auto"/>
          <w:lang w:val="en-US" w:eastAsia="zh-CN"/>
        </w:rPr>
        <w:t>”</w:t>
      </w:r>
      <w:r>
        <w:rPr>
          <w:rFonts w:hint="default" w:ascii="Times New Roman" w:hAnsi="Times New Roman" w:cs="Times New Roman"/>
          <w:color w:val="auto"/>
          <w:lang w:val="en-US" w:eastAsia="zh-CN"/>
        </w:rPr>
        <w:t>本项目是对垃圾焚烧发电厂产生的焚烧飞灰进行无害化处置，因此本项目建设符合福州市红庙岭循环经济生态产业园专项规划。园区功能区分布图见图3.1-2。</w:t>
      </w:r>
    </w:p>
    <w:p w14:paraId="130243DB">
      <w:pPr>
        <w:bidi w:val="0"/>
        <w:rPr>
          <w:rFonts w:hint="default" w:ascii="Times New Roman" w:hAnsi="Times New Roman" w:cs="Times New Roman"/>
          <w:color w:val="auto"/>
        </w:rPr>
      </w:pPr>
      <w:r>
        <w:rPr>
          <w:rFonts w:hint="default" w:ascii="Times New Roman" w:hAnsi="Times New Roman" w:cs="Times New Roman"/>
          <w:color w:val="auto"/>
          <w:lang w:val="en-US" w:eastAsia="zh-CN"/>
        </w:rPr>
        <w:t>福州市红庙岭垃圾焚烧发电厂飞灰稳定化预处理扩建工程BOT项目（二期）建在原厂区西南侧，项目东北侧为福州市危险废物综合处置项目，南侧约50m为餐厨废弃物处理及资源化利用项目，西南侧约150m为红庙岭垃圾卫生填埋场二期填埋库区，西北侧为福州市红庙岭垃圾焚烧发电厂炉渣综合利用厂，项目周边关系图见图3.1-3。</w:t>
      </w:r>
    </w:p>
    <w:p w14:paraId="152B5D65">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本次改扩建项目在2#厂房新增一条处理能力为100t/d的飞灰稳定化预处理生产线，其余配套工程及设施均依托现有工程。</w:t>
      </w:r>
    </w:p>
    <w:p w14:paraId="46BA74BF">
      <w:pPr>
        <w:bidi w:val="0"/>
        <w:rPr>
          <w:rFonts w:hint="default" w:ascii="Times New Roman" w:hAnsi="Times New Roman" w:cs="Times New Roman"/>
          <w:color w:val="auto"/>
        </w:rPr>
      </w:pPr>
      <w:r>
        <w:rPr>
          <w:rFonts w:hint="eastAsia" w:cs="Times New Roman"/>
          <w:color w:val="auto"/>
          <w:lang w:val="en-US" w:eastAsia="zh-CN"/>
        </w:rPr>
        <w:t>扩建项目</w:t>
      </w:r>
      <w:r>
        <w:rPr>
          <w:rFonts w:hint="default" w:ascii="Times New Roman" w:hAnsi="Times New Roman" w:cs="Times New Roman"/>
          <w:color w:val="auto"/>
          <w:lang w:val="en-US" w:eastAsia="zh-CN"/>
        </w:rPr>
        <w:t>新增</w:t>
      </w:r>
      <w:r>
        <w:rPr>
          <w:rFonts w:hint="eastAsia" w:cs="Times New Roman"/>
          <w:color w:val="auto"/>
          <w:lang w:val="en-US" w:eastAsia="zh-CN"/>
        </w:rPr>
        <w:t>的</w:t>
      </w:r>
      <w:r>
        <w:rPr>
          <w:rFonts w:hint="default" w:ascii="Times New Roman" w:hAnsi="Times New Roman" w:cs="Times New Roman"/>
          <w:color w:val="auto"/>
          <w:lang w:val="en-US" w:eastAsia="zh-CN"/>
        </w:rPr>
        <w:t>压缩空气室现状为应急物资仓库，2#厂房西北侧的停车场现状为山体，综合楼北侧绿化现状为篮球场，2#厂房东北侧现状为原料仓库，事故应急池位于</w:t>
      </w:r>
      <w:r>
        <w:rPr>
          <w:rFonts w:hint="eastAsia" w:ascii="Times New Roman" w:hAnsi="Times New Roman" w:cs="Times New Roman"/>
          <w:color w:val="auto"/>
          <w:lang w:val="en-US" w:eastAsia="zh-CN"/>
        </w:rPr>
        <w:t>2#厂房</w:t>
      </w:r>
      <w:r>
        <w:rPr>
          <w:rFonts w:hint="default" w:ascii="Times New Roman" w:hAnsi="Times New Roman" w:cs="Times New Roman"/>
          <w:color w:val="auto"/>
          <w:lang w:val="en-US" w:eastAsia="zh-CN"/>
        </w:rPr>
        <w:t>东侧</w:t>
      </w:r>
      <w:r>
        <w:rPr>
          <w:rFonts w:hint="default" w:ascii="Times New Roman" w:hAnsi="Times New Roman" w:cs="Times New Roman"/>
          <w:color w:val="auto"/>
          <w:lang w:eastAsia="zh-CN"/>
        </w:rPr>
        <w:t>，</w:t>
      </w:r>
      <w:r>
        <w:rPr>
          <w:rFonts w:hint="default" w:ascii="Times New Roman" w:hAnsi="Times New Roman" w:cs="Times New Roman"/>
          <w:color w:val="auto"/>
        </w:rPr>
        <w:t>其余车间总体布置与环评一致。</w:t>
      </w:r>
      <w:r>
        <w:rPr>
          <w:rFonts w:hint="default" w:ascii="Times New Roman" w:hAnsi="Times New Roman" w:cs="Times New Roman"/>
          <w:color w:val="auto"/>
          <w:lang w:val="en-US" w:eastAsia="zh-CN"/>
        </w:rPr>
        <w:t>项目</w:t>
      </w:r>
      <w:r>
        <w:rPr>
          <w:rFonts w:hint="eastAsia" w:cs="Times New Roman"/>
          <w:color w:val="auto"/>
          <w:lang w:val="en-US" w:eastAsia="zh-CN"/>
        </w:rPr>
        <w:t>总</w:t>
      </w:r>
      <w:r>
        <w:rPr>
          <w:rFonts w:hint="default" w:ascii="Times New Roman" w:hAnsi="Times New Roman" w:cs="Times New Roman"/>
          <w:color w:val="auto"/>
        </w:rPr>
        <w:t>平面布置</w:t>
      </w:r>
      <w:r>
        <w:rPr>
          <w:rFonts w:hint="eastAsia" w:cs="Times New Roman"/>
          <w:color w:val="auto"/>
          <w:lang w:val="en-US" w:eastAsia="zh-CN"/>
        </w:rPr>
        <w:t>图</w:t>
      </w:r>
      <w:r>
        <w:rPr>
          <w:rFonts w:hint="default" w:ascii="Times New Roman" w:hAnsi="Times New Roman" w:cs="Times New Roman"/>
          <w:color w:val="auto"/>
        </w:rPr>
        <w:t>见图</w:t>
      </w:r>
      <w:r>
        <w:rPr>
          <w:rFonts w:hint="default" w:ascii="Times New Roman" w:hAnsi="Times New Roman" w:cs="Times New Roman"/>
          <w:color w:val="auto"/>
          <w:lang w:val="en-US" w:eastAsia="zh-CN"/>
        </w:rPr>
        <w:t>3.1-4，车间平面见图3.1-5，雨污管网见图3.1-6。</w:t>
      </w:r>
    </w:p>
    <w:p w14:paraId="439EE447">
      <w:pPr>
        <w:bidi w:val="0"/>
        <w:rPr>
          <w:rFonts w:hint="default" w:ascii="Times New Roman" w:hAnsi="Times New Roman" w:cs="Times New Roman"/>
          <w:color w:val="auto"/>
          <w:lang w:val="en-US" w:eastAsia="zh-CN"/>
        </w:rPr>
        <w:sectPr>
          <w:headerReference r:id="rId6" w:type="default"/>
          <w:footerReference r:id="rId7" w:type="default"/>
          <w:pgSz w:w="11912" w:h="16841"/>
          <w:pgMar w:top="1701" w:right="1417" w:bottom="1701" w:left="1701" w:header="1078" w:footer="991" w:gutter="0"/>
          <w:pgNumType w:fmt="decimal" w:start="1"/>
          <w:cols w:space="720" w:num="1"/>
        </w:sectPr>
      </w:pPr>
      <w:r>
        <w:rPr>
          <w:rFonts w:hint="default" w:ascii="Times New Roman" w:hAnsi="Times New Roman" w:cs="Times New Roman"/>
          <w:color w:val="auto"/>
        </w:rPr>
        <w:t>通过现场踏勘及资料收集可知</w:t>
      </w:r>
      <w:r>
        <w:rPr>
          <w:rFonts w:hint="default" w:ascii="Times New Roman" w:hAnsi="Times New Roman" w:cs="Times New Roman"/>
          <w:color w:val="auto"/>
          <w:lang w:eastAsia="zh-CN"/>
        </w:rPr>
        <w:t>，</w:t>
      </w:r>
      <w:r>
        <w:rPr>
          <w:rFonts w:hint="default" w:ascii="Times New Roman" w:hAnsi="Times New Roman" w:cs="Times New Roman"/>
          <w:color w:val="auto"/>
        </w:rPr>
        <w:t>与环评阶段相比</w:t>
      </w:r>
      <w:r>
        <w:rPr>
          <w:rFonts w:hint="default" w:ascii="Times New Roman" w:hAnsi="Times New Roman" w:cs="Times New Roman"/>
          <w:color w:val="auto"/>
          <w:lang w:eastAsia="zh-CN"/>
        </w:rPr>
        <w:t>，</w:t>
      </w:r>
      <w:r>
        <w:rPr>
          <w:rFonts w:hint="default" w:ascii="Times New Roman" w:hAnsi="Times New Roman" w:cs="Times New Roman"/>
          <w:color w:val="auto"/>
        </w:rPr>
        <w:t>项目区域内未新增环境</w:t>
      </w:r>
      <w:r>
        <w:rPr>
          <w:rFonts w:hint="eastAsia" w:cs="Times New Roman"/>
          <w:color w:val="auto"/>
          <w:lang w:val="en-US" w:eastAsia="zh-CN"/>
        </w:rPr>
        <w:t>保护</w:t>
      </w:r>
      <w:r>
        <w:rPr>
          <w:rFonts w:hint="default" w:ascii="Times New Roman" w:hAnsi="Times New Roman" w:cs="Times New Roman"/>
          <w:color w:val="auto"/>
        </w:rPr>
        <w:t>。</w:t>
      </w:r>
      <w:r>
        <w:rPr>
          <w:rFonts w:hint="eastAsia" w:cs="Times New Roman"/>
          <w:color w:val="auto"/>
          <w:lang w:val="en-US" w:eastAsia="zh-CN"/>
        </w:rPr>
        <w:t>主要环境保护目标</w:t>
      </w:r>
      <w:r>
        <w:rPr>
          <w:rFonts w:hint="default" w:ascii="Times New Roman" w:hAnsi="Times New Roman" w:cs="Times New Roman"/>
          <w:color w:val="auto"/>
          <w:lang w:val="en-US" w:eastAsia="zh-CN"/>
        </w:rPr>
        <w:t>分布图见图3.1-7。</w:t>
      </w:r>
      <w:r>
        <w:rPr>
          <w:rFonts w:hint="eastAsia" w:cs="Times New Roman"/>
          <w:color w:val="auto"/>
          <w:lang w:val="en-US" w:eastAsia="zh-CN"/>
        </w:rPr>
        <w:t>主要环境保护目标</w:t>
      </w:r>
      <w:r>
        <w:rPr>
          <w:rFonts w:hint="default" w:ascii="Times New Roman" w:hAnsi="Times New Roman" w:cs="Times New Roman"/>
          <w:color w:val="auto"/>
          <w:lang w:val="en-US" w:eastAsia="zh-CN"/>
        </w:rPr>
        <w:t>分布情况见表3.1-1。</w:t>
      </w:r>
    </w:p>
    <w:p w14:paraId="025DC945">
      <w:pPr>
        <w:pStyle w:val="21"/>
        <w:keepNext w:val="0"/>
        <w:keepLines w:val="0"/>
        <w:pageBreakBefore w:val="0"/>
        <w:widowControl/>
        <w:kinsoku w:val="0"/>
        <w:wordWrap/>
        <w:overflowPunct/>
        <w:topLinePunct w:val="0"/>
        <w:autoSpaceDE/>
        <w:autoSpaceDN/>
        <w:bidi w:val="0"/>
        <w:adjustRightInd w:val="0"/>
        <w:snapToGrid w:val="0"/>
        <w:textAlignment w:val="baseline"/>
        <w:outlineLvl w:val="5"/>
        <w:rPr>
          <w:rFonts w:hint="default" w:ascii="Times New Roman" w:hAnsi="Times New Roman" w:cs="Times New Roman"/>
          <w:color w:val="auto"/>
        </w:rPr>
      </w:pPr>
      <w:r>
        <w:rPr>
          <w:rFonts w:hint="default" w:ascii="Times New Roman" w:hAnsi="Times New Roman" w:cs="Times New Roman"/>
          <w:color w:val="auto"/>
        </w:rPr>
        <w:t>表3</w:t>
      </w:r>
      <w:r>
        <w:rPr>
          <w:rFonts w:hint="default" w:ascii="Times New Roman" w:hAnsi="Times New Roman" w:cs="Times New Roman"/>
          <w:color w:val="auto"/>
          <w:lang w:val="en-US" w:eastAsia="zh-CN"/>
        </w:rPr>
        <w:t>.1</w:t>
      </w:r>
      <w:r>
        <w:rPr>
          <w:rFonts w:hint="default" w:ascii="Times New Roman" w:hAnsi="Times New Roman" w:cs="Times New Roman"/>
          <w:color w:val="auto"/>
        </w:rPr>
        <w:t>-1主要环境保护目标与项目</w:t>
      </w:r>
      <w:r>
        <w:rPr>
          <w:rFonts w:hint="default" w:ascii="Times New Roman" w:hAnsi="Times New Roman" w:cs="Times New Roman"/>
          <w:color w:val="auto"/>
          <w:lang w:eastAsia="zh-CN"/>
        </w:rPr>
        <w:t>所在地</w:t>
      </w:r>
      <w:r>
        <w:rPr>
          <w:rFonts w:hint="default" w:ascii="Times New Roman" w:hAnsi="Times New Roman" w:cs="Times New Roman"/>
          <w:color w:val="auto"/>
        </w:rPr>
        <w:t>相对位置</w:t>
      </w:r>
    </w:p>
    <w:tbl>
      <w:tblPr>
        <w:tblStyle w:val="14"/>
        <w:tblW w:w="1417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028"/>
        <w:gridCol w:w="1737"/>
        <w:gridCol w:w="1941"/>
        <w:gridCol w:w="1500"/>
        <w:gridCol w:w="1709"/>
        <w:gridCol w:w="2204"/>
        <w:gridCol w:w="1732"/>
        <w:gridCol w:w="1299"/>
        <w:gridCol w:w="1023"/>
      </w:tblGrid>
      <w:tr w14:paraId="2EFA64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cantSplit/>
          <w:trHeight w:val="340" w:hRule="atLeast"/>
          <w:jc w:val="center"/>
        </w:trPr>
        <w:tc>
          <w:tcPr>
            <w:tcW w:w="1028" w:type="dxa"/>
            <w:vMerge w:val="restart"/>
            <w:noWrap w:val="0"/>
            <w:vAlign w:val="center"/>
          </w:tcPr>
          <w:p w14:paraId="74341B61">
            <w:pPr>
              <w:pStyle w:val="23"/>
              <w:bidi w:val="0"/>
              <w:rPr>
                <w:rFonts w:hint="default"/>
                <w:color w:val="auto"/>
              </w:rPr>
            </w:pPr>
          </w:p>
        </w:tc>
        <w:tc>
          <w:tcPr>
            <w:tcW w:w="1737" w:type="dxa"/>
            <w:vMerge w:val="restart"/>
            <w:noWrap w:val="0"/>
            <w:vAlign w:val="center"/>
          </w:tcPr>
          <w:p w14:paraId="384B2062">
            <w:pPr>
              <w:pStyle w:val="23"/>
              <w:bidi w:val="0"/>
              <w:rPr>
                <w:rFonts w:hint="default"/>
                <w:color w:val="auto"/>
              </w:rPr>
            </w:pPr>
          </w:p>
        </w:tc>
        <w:tc>
          <w:tcPr>
            <w:tcW w:w="3441" w:type="dxa"/>
            <w:gridSpan w:val="2"/>
            <w:noWrap w:val="0"/>
            <w:vAlign w:val="center"/>
          </w:tcPr>
          <w:p w14:paraId="4E59C852">
            <w:pPr>
              <w:pStyle w:val="23"/>
              <w:bidi w:val="0"/>
              <w:rPr>
                <w:rFonts w:hint="default"/>
                <w:color w:val="auto"/>
              </w:rPr>
            </w:pPr>
          </w:p>
        </w:tc>
        <w:tc>
          <w:tcPr>
            <w:tcW w:w="1709" w:type="dxa"/>
            <w:vMerge w:val="restart"/>
            <w:noWrap w:val="0"/>
            <w:vAlign w:val="center"/>
          </w:tcPr>
          <w:p w14:paraId="61D3143B">
            <w:pPr>
              <w:pStyle w:val="23"/>
              <w:bidi w:val="0"/>
              <w:rPr>
                <w:rFonts w:hint="default"/>
                <w:color w:val="auto"/>
              </w:rPr>
            </w:pPr>
          </w:p>
        </w:tc>
        <w:tc>
          <w:tcPr>
            <w:tcW w:w="2204" w:type="dxa"/>
            <w:vMerge w:val="restart"/>
            <w:noWrap w:val="0"/>
            <w:vAlign w:val="center"/>
          </w:tcPr>
          <w:p w14:paraId="32FB2ED6">
            <w:pPr>
              <w:pStyle w:val="23"/>
              <w:bidi w:val="0"/>
              <w:rPr>
                <w:rFonts w:hint="default"/>
                <w:color w:val="auto"/>
              </w:rPr>
            </w:pPr>
          </w:p>
        </w:tc>
        <w:tc>
          <w:tcPr>
            <w:tcW w:w="1732" w:type="dxa"/>
            <w:vMerge w:val="restart"/>
            <w:noWrap w:val="0"/>
            <w:vAlign w:val="center"/>
          </w:tcPr>
          <w:p w14:paraId="3C9D5F00">
            <w:pPr>
              <w:pStyle w:val="23"/>
              <w:bidi w:val="0"/>
              <w:rPr>
                <w:rFonts w:hint="default"/>
                <w:color w:val="auto"/>
              </w:rPr>
            </w:pPr>
          </w:p>
        </w:tc>
        <w:tc>
          <w:tcPr>
            <w:tcW w:w="1299" w:type="dxa"/>
            <w:vMerge w:val="restart"/>
            <w:noWrap w:val="0"/>
            <w:vAlign w:val="center"/>
          </w:tcPr>
          <w:p w14:paraId="5078F84A">
            <w:pPr>
              <w:pStyle w:val="23"/>
              <w:bidi w:val="0"/>
              <w:rPr>
                <w:rFonts w:hint="default"/>
                <w:color w:val="auto"/>
              </w:rPr>
            </w:pPr>
          </w:p>
        </w:tc>
        <w:tc>
          <w:tcPr>
            <w:tcW w:w="1023" w:type="dxa"/>
            <w:vMerge w:val="restart"/>
            <w:noWrap w:val="0"/>
            <w:vAlign w:val="center"/>
          </w:tcPr>
          <w:p w14:paraId="3B78DB37">
            <w:pPr>
              <w:pStyle w:val="23"/>
              <w:bidi w:val="0"/>
              <w:rPr>
                <w:rFonts w:hint="default"/>
                <w:color w:val="auto"/>
              </w:rPr>
            </w:pPr>
          </w:p>
        </w:tc>
      </w:tr>
      <w:tr w14:paraId="3CC586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continue"/>
            <w:noWrap w:val="0"/>
            <w:vAlign w:val="center"/>
          </w:tcPr>
          <w:p w14:paraId="036E120E">
            <w:pPr>
              <w:pStyle w:val="23"/>
              <w:bidi w:val="0"/>
              <w:rPr>
                <w:rFonts w:hint="default"/>
                <w:color w:val="auto"/>
              </w:rPr>
            </w:pPr>
          </w:p>
        </w:tc>
        <w:tc>
          <w:tcPr>
            <w:tcW w:w="1737" w:type="dxa"/>
            <w:vMerge w:val="continue"/>
            <w:noWrap w:val="0"/>
            <w:vAlign w:val="center"/>
          </w:tcPr>
          <w:p w14:paraId="1F8211D1">
            <w:pPr>
              <w:pStyle w:val="23"/>
              <w:bidi w:val="0"/>
              <w:rPr>
                <w:rFonts w:hint="default"/>
                <w:color w:val="auto"/>
              </w:rPr>
            </w:pPr>
          </w:p>
        </w:tc>
        <w:tc>
          <w:tcPr>
            <w:tcW w:w="1941" w:type="dxa"/>
            <w:noWrap w:val="0"/>
            <w:vAlign w:val="center"/>
          </w:tcPr>
          <w:p w14:paraId="2843DDE9">
            <w:pPr>
              <w:pStyle w:val="23"/>
              <w:bidi w:val="0"/>
              <w:rPr>
                <w:rFonts w:hint="default"/>
                <w:color w:val="auto"/>
              </w:rPr>
            </w:pPr>
          </w:p>
        </w:tc>
        <w:tc>
          <w:tcPr>
            <w:tcW w:w="1500" w:type="dxa"/>
            <w:noWrap w:val="0"/>
            <w:vAlign w:val="center"/>
          </w:tcPr>
          <w:p w14:paraId="1A023414">
            <w:pPr>
              <w:pStyle w:val="23"/>
              <w:bidi w:val="0"/>
              <w:rPr>
                <w:rFonts w:hint="default"/>
                <w:color w:val="auto"/>
              </w:rPr>
            </w:pPr>
          </w:p>
        </w:tc>
        <w:tc>
          <w:tcPr>
            <w:tcW w:w="1709" w:type="dxa"/>
            <w:vMerge w:val="continue"/>
            <w:noWrap w:val="0"/>
            <w:vAlign w:val="center"/>
          </w:tcPr>
          <w:p w14:paraId="302F2874">
            <w:pPr>
              <w:pStyle w:val="23"/>
              <w:bidi w:val="0"/>
              <w:rPr>
                <w:rFonts w:hint="default"/>
                <w:color w:val="auto"/>
              </w:rPr>
            </w:pPr>
          </w:p>
        </w:tc>
        <w:tc>
          <w:tcPr>
            <w:tcW w:w="2204" w:type="dxa"/>
            <w:vMerge w:val="continue"/>
            <w:noWrap w:val="0"/>
            <w:vAlign w:val="center"/>
          </w:tcPr>
          <w:p w14:paraId="6C77ED92">
            <w:pPr>
              <w:pStyle w:val="23"/>
              <w:bidi w:val="0"/>
              <w:rPr>
                <w:rFonts w:hint="default"/>
                <w:color w:val="auto"/>
              </w:rPr>
            </w:pPr>
          </w:p>
        </w:tc>
        <w:tc>
          <w:tcPr>
            <w:tcW w:w="1732" w:type="dxa"/>
            <w:vMerge w:val="continue"/>
            <w:noWrap w:val="0"/>
            <w:vAlign w:val="center"/>
          </w:tcPr>
          <w:p w14:paraId="48AE3F73">
            <w:pPr>
              <w:pStyle w:val="23"/>
              <w:bidi w:val="0"/>
              <w:rPr>
                <w:rFonts w:hint="default"/>
                <w:color w:val="auto"/>
              </w:rPr>
            </w:pPr>
          </w:p>
        </w:tc>
        <w:tc>
          <w:tcPr>
            <w:tcW w:w="1299" w:type="dxa"/>
            <w:vMerge w:val="continue"/>
            <w:noWrap w:val="0"/>
            <w:vAlign w:val="center"/>
          </w:tcPr>
          <w:p w14:paraId="54C75824">
            <w:pPr>
              <w:pStyle w:val="23"/>
              <w:bidi w:val="0"/>
              <w:rPr>
                <w:rFonts w:hint="default"/>
                <w:color w:val="auto"/>
              </w:rPr>
            </w:pPr>
          </w:p>
        </w:tc>
        <w:tc>
          <w:tcPr>
            <w:tcW w:w="1023" w:type="dxa"/>
            <w:vMerge w:val="continue"/>
            <w:noWrap w:val="0"/>
            <w:vAlign w:val="center"/>
          </w:tcPr>
          <w:p w14:paraId="52E2A188">
            <w:pPr>
              <w:pStyle w:val="23"/>
              <w:bidi w:val="0"/>
              <w:rPr>
                <w:rFonts w:hint="default"/>
                <w:color w:val="auto"/>
              </w:rPr>
            </w:pPr>
          </w:p>
        </w:tc>
      </w:tr>
      <w:tr w14:paraId="7910B6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cantSplit/>
          <w:trHeight w:val="340" w:hRule="atLeast"/>
          <w:jc w:val="center"/>
        </w:trPr>
        <w:tc>
          <w:tcPr>
            <w:tcW w:w="1028" w:type="dxa"/>
            <w:vMerge w:val="restart"/>
            <w:noWrap w:val="0"/>
            <w:vAlign w:val="center"/>
          </w:tcPr>
          <w:p w14:paraId="4DF2EBC8">
            <w:pPr>
              <w:pStyle w:val="23"/>
              <w:bidi w:val="0"/>
              <w:rPr>
                <w:rFonts w:hint="default"/>
                <w:color w:val="auto"/>
              </w:rPr>
            </w:pPr>
          </w:p>
        </w:tc>
        <w:tc>
          <w:tcPr>
            <w:tcW w:w="1737" w:type="dxa"/>
            <w:noWrap w:val="0"/>
            <w:vAlign w:val="center"/>
          </w:tcPr>
          <w:p w14:paraId="7D2ADA69">
            <w:pPr>
              <w:pStyle w:val="23"/>
              <w:bidi w:val="0"/>
              <w:rPr>
                <w:rFonts w:hint="default"/>
                <w:color w:val="auto"/>
              </w:rPr>
            </w:pPr>
          </w:p>
        </w:tc>
        <w:tc>
          <w:tcPr>
            <w:tcW w:w="1941" w:type="dxa"/>
            <w:noWrap w:val="0"/>
            <w:vAlign w:val="center"/>
          </w:tcPr>
          <w:p w14:paraId="67CE9932">
            <w:pPr>
              <w:pStyle w:val="23"/>
              <w:bidi w:val="0"/>
              <w:rPr>
                <w:rFonts w:hint="default"/>
                <w:color w:val="auto"/>
              </w:rPr>
            </w:pPr>
          </w:p>
        </w:tc>
        <w:tc>
          <w:tcPr>
            <w:tcW w:w="1500" w:type="dxa"/>
            <w:noWrap w:val="0"/>
            <w:vAlign w:val="center"/>
          </w:tcPr>
          <w:p w14:paraId="3E704423">
            <w:pPr>
              <w:pStyle w:val="23"/>
              <w:bidi w:val="0"/>
              <w:rPr>
                <w:rFonts w:hint="default"/>
                <w:color w:val="auto"/>
              </w:rPr>
            </w:pPr>
          </w:p>
        </w:tc>
        <w:tc>
          <w:tcPr>
            <w:tcW w:w="1709" w:type="dxa"/>
            <w:noWrap w:val="0"/>
            <w:vAlign w:val="center"/>
          </w:tcPr>
          <w:p w14:paraId="0F5FFB5E">
            <w:pPr>
              <w:pStyle w:val="23"/>
              <w:bidi w:val="0"/>
              <w:rPr>
                <w:rFonts w:hint="default"/>
                <w:color w:val="auto"/>
              </w:rPr>
            </w:pPr>
          </w:p>
        </w:tc>
        <w:tc>
          <w:tcPr>
            <w:tcW w:w="2204" w:type="dxa"/>
            <w:noWrap w:val="0"/>
            <w:vAlign w:val="center"/>
          </w:tcPr>
          <w:p w14:paraId="01ED09EC">
            <w:pPr>
              <w:pStyle w:val="23"/>
              <w:bidi w:val="0"/>
              <w:rPr>
                <w:rFonts w:hint="default"/>
                <w:color w:val="auto"/>
              </w:rPr>
            </w:pPr>
          </w:p>
        </w:tc>
        <w:tc>
          <w:tcPr>
            <w:tcW w:w="1732" w:type="dxa"/>
            <w:vMerge w:val="restart"/>
            <w:noWrap w:val="0"/>
            <w:vAlign w:val="center"/>
          </w:tcPr>
          <w:p w14:paraId="3BD63B96">
            <w:pPr>
              <w:pStyle w:val="23"/>
              <w:bidi w:val="0"/>
              <w:rPr>
                <w:rFonts w:hint="default"/>
                <w:color w:val="auto"/>
              </w:rPr>
            </w:pPr>
          </w:p>
        </w:tc>
        <w:tc>
          <w:tcPr>
            <w:tcW w:w="1299" w:type="dxa"/>
            <w:noWrap w:val="0"/>
            <w:vAlign w:val="center"/>
          </w:tcPr>
          <w:p w14:paraId="3AE230A9">
            <w:pPr>
              <w:pStyle w:val="23"/>
              <w:bidi w:val="0"/>
              <w:rPr>
                <w:rFonts w:hint="default"/>
                <w:color w:val="auto"/>
              </w:rPr>
            </w:pPr>
          </w:p>
        </w:tc>
        <w:tc>
          <w:tcPr>
            <w:tcW w:w="1023" w:type="dxa"/>
            <w:noWrap w:val="0"/>
            <w:vAlign w:val="center"/>
          </w:tcPr>
          <w:p w14:paraId="7C7551B2">
            <w:pPr>
              <w:pStyle w:val="23"/>
              <w:bidi w:val="0"/>
              <w:rPr>
                <w:rFonts w:hint="default"/>
                <w:color w:val="auto"/>
              </w:rPr>
            </w:pPr>
          </w:p>
        </w:tc>
      </w:tr>
      <w:tr w14:paraId="19AA1FB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continue"/>
            <w:noWrap w:val="0"/>
            <w:vAlign w:val="center"/>
          </w:tcPr>
          <w:p w14:paraId="091CDCBA">
            <w:pPr>
              <w:pStyle w:val="23"/>
              <w:bidi w:val="0"/>
              <w:rPr>
                <w:rFonts w:hint="default"/>
                <w:color w:val="auto"/>
              </w:rPr>
            </w:pPr>
          </w:p>
        </w:tc>
        <w:tc>
          <w:tcPr>
            <w:tcW w:w="1737" w:type="dxa"/>
            <w:noWrap w:val="0"/>
            <w:vAlign w:val="center"/>
          </w:tcPr>
          <w:p w14:paraId="58BB075F">
            <w:pPr>
              <w:pStyle w:val="23"/>
              <w:bidi w:val="0"/>
              <w:rPr>
                <w:rFonts w:hint="default"/>
                <w:color w:val="auto"/>
              </w:rPr>
            </w:pPr>
          </w:p>
        </w:tc>
        <w:tc>
          <w:tcPr>
            <w:tcW w:w="1941" w:type="dxa"/>
            <w:noWrap w:val="0"/>
            <w:vAlign w:val="center"/>
          </w:tcPr>
          <w:p w14:paraId="5F1AAEB7">
            <w:pPr>
              <w:pStyle w:val="23"/>
              <w:bidi w:val="0"/>
              <w:rPr>
                <w:rFonts w:hint="default"/>
                <w:color w:val="auto"/>
              </w:rPr>
            </w:pPr>
          </w:p>
        </w:tc>
        <w:tc>
          <w:tcPr>
            <w:tcW w:w="1500" w:type="dxa"/>
            <w:noWrap w:val="0"/>
            <w:vAlign w:val="center"/>
          </w:tcPr>
          <w:p w14:paraId="23DFAB3E">
            <w:pPr>
              <w:pStyle w:val="23"/>
              <w:bidi w:val="0"/>
              <w:rPr>
                <w:rFonts w:hint="default"/>
                <w:color w:val="auto"/>
              </w:rPr>
            </w:pPr>
          </w:p>
        </w:tc>
        <w:tc>
          <w:tcPr>
            <w:tcW w:w="1709" w:type="dxa"/>
            <w:noWrap w:val="0"/>
            <w:vAlign w:val="center"/>
          </w:tcPr>
          <w:p w14:paraId="3E6A22DF">
            <w:pPr>
              <w:pStyle w:val="23"/>
              <w:bidi w:val="0"/>
              <w:rPr>
                <w:rFonts w:hint="default"/>
                <w:color w:val="auto"/>
              </w:rPr>
            </w:pPr>
          </w:p>
        </w:tc>
        <w:tc>
          <w:tcPr>
            <w:tcW w:w="2204" w:type="dxa"/>
            <w:noWrap w:val="0"/>
            <w:vAlign w:val="center"/>
          </w:tcPr>
          <w:p w14:paraId="79FAAED5">
            <w:pPr>
              <w:pStyle w:val="23"/>
              <w:bidi w:val="0"/>
              <w:rPr>
                <w:rFonts w:hint="default"/>
                <w:color w:val="auto"/>
              </w:rPr>
            </w:pPr>
          </w:p>
        </w:tc>
        <w:tc>
          <w:tcPr>
            <w:tcW w:w="1732" w:type="dxa"/>
            <w:vMerge w:val="continue"/>
            <w:noWrap w:val="0"/>
            <w:vAlign w:val="center"/>
          </w:tcPr>
          <w:p w14:paraId="59198719">
            <w:pPr>
              <w:pStyle w:val="23"/>
              <w:bidi w:val="0"/>
              <w:rPr>
                <w:rFonts w:hint="default"/>
                <w:color w:val="auto"/>
              </w:rPr>
            </w:pPr>
          </w:p>
        </w:tc>
        <w:tc>
          <w:tcPr>
            <w:tcW w:w="1299" w:type="dxa"/>
            <w:noWrap w:val="0"/>
            <w:vAlign w:val="center"/>
          </w:tcPr>
          <w:p w14:paraId="501BE14F">
            <w:pPr>
              <w:pStyle w:val="23"/>
              <w:bidi w:val="0"/>
              <w:rPr>
                <w:rFonts w:hint="default"/>
                <w:color w:val="auto"/>
              </w:rPr>
            </w:pPr>
          </w:p>
        </w:tc>
        <w:tc>
          <w:tcPr>
            <w:tcW w:w="1023" w:type="dxa"/>
            <w:noWrap w:val="0"/>
            <w:vAlign w:val="center"/>
          </w:tcPr>
          <w:p w14:paraId="60A39ED1">
            <w:pPr>
              <w:pStyle w:val="23"/>
              <w:bidi w:val="0"/>
              <w:rPr>
                <w:rFonts w:hint="default"/>
                <w:color w:val="auto"/>
              </w:rPr>
            </w:pPr>
          </w:p>
        </w:tc>
      </w:tr>
      <w:tr w14:paraId="2CA5D64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continue"/>
            <w:noWrap w:val="0"/>
            <w:vAlign w:val="center"/>
          </w:tcPr>
          <w:p w14:paraId="2FDC1577">
            <w:pPr>
              <w:pStyle w:val="23"/>
              <w:bidi w:val="0"/>
              <w:rPr>
                <w:rFonts w:hint="default"/>
                <w:color w:val="auto"/>
              </w:rPr>
            </w:pPr>
          </w:p>
        </w:tc>
        <w:tc>
          <w:tcPr>
            <w:tcW w:w="1737" w:type="dxa"/>
            <w:noWrap w:val="0"/>
            <w:vAlign w:val="center"/>
          </w:tcPr>
          <w:p w14:paraId="15306EDE">
            <w:pPr>
              <w:pStyle w:val="23"/>
              <w:bidi w:val="0"/>
              <w:rPr>
                <w:rFonts w:hint="default"/>
                <w:color w:val="auto"/>
              </w:rPr>
            </w:pPr>
          </w:p>
        </w:tc>
        <w:tc>
          <w:tcPr>
            <w:tcW w:w="1941" w:type="dxa"/>
            <w:noWrap w:val="0"/>
            <w:vAlign w:val="center"/>
          </w:tcPr>
          <w:p w14:paraId="0FE3C108">
            <w:pPr>
              <w:pStyle w:val="23"/>
              <w:bidi w:val="0"/>
              <w:rPr>
                <w:rFonts w:hint="default"/>
                <w:color w:val="auto"/>
              </w:rPr>
            </w:pPr>
          </w:p>
        </w:tc>
        <w:tc>
          <w:tcPr>
            <w:tcW w:w="1500" w:type="dxa"/>
            <w:noWrap w:val="0"/>
            <w:vAlign w:val="center"/>
          </w:tcPr>
          <w:p w14:paraId="300BE773">
            <w:pPr>
              <w:pStyle w:val="23"/>
              <w:bidi w:val="0"/>
              <w:rPr>
                <w:rFonts w:hint="default"/>
                <w:color w:val="auto"/>
              </w:rPr>
            </w:pPr>
          </w:p>
        </w:tc>
        <w:tc>
          <w:tcPr>
            <w:tcW w:w="1709" w:type="dxa"/>
            <w:noWrap w:val="0"/>
            <w:vAlign w:val="center"/>
          </w:tcPr>
          <w:p w14:paraId="568FCDAD">
            <w:pPr>
              <w:pStyle w:val="23"/>
              <w:bidi w:val="0"/>
              <w:rPr>
                <w:rFonts w:hint="default"/>
                <w:color w:val="auto"/>
              </w:rPr>
            </w:pPr>
          </w:p>
        </w:tc>
        <w:tc>
          <w:tcPr>
            <w:tcW w:w="2204" w:type="dxa"/>
            <w:noWrap w:val="0"/>
            <w:vAlign w:val="center"/>
          </w:tcPr>
          <w:p w14:paraId="2EB366E4">
            <w:pPr>
              <w:pStyle w:val="23"/>
              <w:bidi w:val="0"/>
              <w:rPr>
                <w:rFonts w:hint="default"/>
                <w:color w:val="auto"/>
              </w:rPr>
            </w:pPr>
          </w:p>
        </w:tc>
        <w:tc>
          <w:tcPr>
            <w:tcW w:w="1732" w:type="dxa"/>
            <w:vMerge w:val="continue"/>
            <w:noWrap w:val="0"/>
            <w:vAlign w:val="center"/>
          </w:tcPr>
          <w:p w14:paraId="311CEE95">
            <w:pPr>
              <w:pStyle w:val="23"/>
              <w:bidi w:val="0"/>
              <w:rPr>
                <w:rFonts w:hint="default"/>
                <w:color w:val="auto"/>
              </w:rPr>
            </w:pPr>
          </w:p>
        </w:tc>
        <w:tc>
          <w:tcPr>
            <w:tcW w:w="1299" w:type="dxa"/>
            <w:noWrap w:val="0"/>
            <w:vAlign w:val="center"/>
          </w:tcPr>
          <w:p w14:paraId="48E77D41">
            <w:pPr>
              <w:pStyle w:val="23"/>
              <w:bidi w:val="0"/>
              <w:rPr>
                <w:rFonts w:hint="default"/>
                <w:color w:val="auto"/>
              </w:rPr>
            </w:pPr>
          </w:p>
        </w:tc>
        <w:tc>
          <w:tcPr>
            <w:tcW w:w="1023" w:type="dxa"/>
            <w:noWrap w:val="0"/>
            <w:vAlign w:val="center"/>
          </w:tcPr>
          <w:p w14:paraId="551276E2">
            <w:pPr>
              <w:pStyle w:val="23"/>
              <w:bidi w:val="0"/>
              <w:rPr>
                <w:rFonts w:hint="default"/>
                <w:color w:val="auto"/>
              </w:rPr>
            </w:pPr>
          </w:p>
        </w:tc>
      </w:tr>
      <w:tr w14:paraId="6FC8AF8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continue"/>
            <w:noWrap w:val="0"/>
            <w:vAlign w:val="center"/>
          </w:tcPr>
          <w:p w14:paraId="4BC3CCE9">
            <w:pPr>
              <w:pStyle w:val="23"/>
              <w:bidi w:val="0"/>
              <w:rPr>
                <w:rFonts w:hint="default"/>
                <w:color w:val="auto"/>
              </w:rPr>
            </w:pPr>
          </w:p>
        </w:tc>
        <w:tc>
          <w:tcPr>
            <w:tcW w:w="1737" w:type="dxa"/>
            <w:noWrap w:val="0"/>
            <w:vAlign w:val="center"/>
          </w:tcPr>
          <w:p w14:paraId="35F36688">
            <w:pPr>
              <w:pStyle w:val="23"/>
              <w:bidi w:val="0"/>
              <w:rPr>
                <w:rFonts w:hint="default"/>
                <w:color w:val="auto"/>
              </w:rPr>
            </w:pPr>
          </w:p>
        </w:tc>
        <w:tc>
          <w:tcPr>
            <w:tcW w:w="1941" w:type="dxa"/>
            <w:noWrap w:val="0"/>
            <w:vAlign w:val="center"/>
          </w:tcPr>
          <w:p w14:paraId="7FB173CB">
            <w:pPr>
              <w:pStyle w:val="23"/>
              <w:bidi w:val="0"/>
              <w:rPr>
                <w:rFonts w:hint="default"/>
                <w:color w:val="auto"/>
              </w:rPr>
            </w:pPr>
          </w:p>
        </w:tc>
        <w:tc>
          <w:tcPr>
            <w:tcW w:w="1500" w:type="dxa"/>
            <w:noWrap w:val="0"/>
            <w:vAlign w:val="center"/>
          </w:tcPr>
          <w:p w14:paraId="58A20B27">
            <w:pPr>
              <w:pStyle w:val="23"/>
              <w:bidi w:val="0"/>
              <w:rPr>
                <w:rFonts w:hint="default"/>
                <w:color w:val="auto"/>
              </w:rPr>
            </w:pPr>
          </w:p>
        </w:tc>
        <w:tc>
          <w:tcPr>
            <w:tcW w:w="1709" w:type="dxa"/>
            <w:noWrap w:val="0"/>
            <w:vAlign w:val="center"/>
          </w:tcPr>
          <w:p w14:paraId="34C55D56">
            <w:pPr>
              <w:pStyle w:val="23"/>
              <w:bidi w:val="0"/>
              <w:rPr>
                <w:rFonts w:hint="default"/>
                <w:color w:val="auto"/>
              </w:rPr>
            </w:pPr>
          </w:p>
        </w:tc>
        <w:tc>
          <w:tcPr>
            <w:tcW w:w="2204" w:type="dxa"/>
            <w:noWrap w:val="0"/>
            <w:vAlign w:val="center"/>
          </w:tcPr>
          <w:p w14:paraId="007A8D53">
            <w:pPr>
              <w:pStyle w:val="23"/>
              <w:bidi w:val="0"/>
              <w:rPr>
                <w:rFonts w:hint="default"/>
                <w:color w:val="auto"/>
              </w:rPr>
            </w:pPr>
          </w:p>
        </w:tc>
        <w:tc>
          <w:tcPr>
            <w:tcW w:w="1732" w:type="dxa"/>
            <w:vMerge w:val="continue"/>
            <w:noWrap w:val="0"/>
            <w:vAlign w:val="center"/>
          </w:tcPr>
          <w:p w14:paraId="459C98A2">
            <w:pPr>
              <w:pStyle w:val="23"/>
              <w:bidi w:val="0"/>
              <w:rPr>
                <w:rFonts w:hint="default"/>
                <w:color w:val="auto"/>
              </w:rPr>
            </w:pPr>
          </w:p>
        </w:tc>
        <w:tc>
          <w:tcPr>
            <w:tcW w:w="1299" w:type="dxa"/>
            <w:noWrap w:val="0"/>
            <w:vAlign w:val="center"/>
          </w:tcPr>
          <w:p w14:paraId="4702ABC4">
            <w:pPr>
              <w:pStyle w:val="23"/>
              <w:bidi w:val="0"/>
              <w:rPr>
                <w:rFonts w:hint="default"/>
                <w:color w:val="auto"/>
              </w:rPr>
            </w:pPr>
          </w:p>
        </w:tc>
        <w:tc>
          <w:tcPr>
            <w:tcW w:w="1023" w:type="dxa"/>
            <w:noWrap w:val="0"/>
            <w:vAlign w:val="center"/>
          </w:tcPr>
          <w:p w14:paraId="6F7E3D02">
            <w:pPr>
              <w:pStyle w:val="23"/>
              <w:bidi w:val="0"/>
              <w:rPr>
                <w:rFonts w:hint="default"/>
                <w:color w:val="auto"/>
              </w:rPr>
            </w:pPr>
          </w:p>
        </w:tc>
      </w:tr>
      <w:tr w14:paraId="101B1A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continue"/>
            <w:noWrap w:val="0"/>
            <w:vAlign w:val="center"/>
          </w:tcPr>
          <w:p w14:paraId="775E4003">
            <w:pPr>
              <w:pStyle w:val="23"/>
              <w:bidi w:val="0"/>
              <w:rPr>
                <w:rFonts w:hint="default"/>
                <w:color w:val="auto"/>
              </w:rPr>
            </w:pPr>
          </w:p>
        </w:tc>
        <w:tc>
          <w:tcPr>
            <w:tcW w:w="1737" w:type="dxa"/>
            <w:noWrap w:val="0"/>
            <w:vAlign w:val="center"/>
          </w:tcPr>
          <w:p w14:paraId="1B32F819">
            <w:pPr>
              <w:pStyle w:val="23"/>
              <w:bidi w:val="0"/>
              <w:rPr>
                <w:rFonts w:hint="default"/>
                <w:color w:val="auto"/>
              </w:rPr>
            </w:pPr>
          </w:p>
        </w:tc>
        <w:tc>
          <w:tcPr>
            <w:tcW w:w="1941" w:type="dxa"/>
            <w:noWrap w:val="0"/>
            <w:vAlign w:val="center"/>
          </w:tcPr>
          <w:p w14:paraId="39AC02A5">
            <w:pPr>
              <w:pStyle w:val="23"/>
              <w:bidi w:val="0"/>
              <w:rPr>
                <w:rFonts w:hint="default"/>
                <w:color w:val="auto"/>
              </w:rPr>
            </w:pPr>
          </w:p>
        </w:tc>
        <w:tc>
          <w:tcPr>
            <w:tcW w:w="1500" w:type="dxa"/>
            <w:noWrap w:val="0"/>
            <w:vAlign w:val="center"/>
          </w:tcPr>
          <w:p w14:paraId="76EE9559">
            <w:pPr>
              <w:pStyle w:val="23"/>
              <w:bidi w:val="0"/>
              <w:rPr>
                <w:rFonts w:hint="default"/>
                <w:color w:val="auto"/>
              </w:rPr>
            </w:pPr>
          </w:p>
        </w:tc>
        <w:tc>
          <w:tcPr>
            <w:tcW w:w="1709" w:type="dxa"/>
            <w:noWrap w:val="0"/>
            <w:vAlign w:val="center"/>
          </w:tcPr>
          <w:p w14:paraId="029BE9C8">
            <w:pPr>
              <w:pStyle w:val="23"/>
              <w:bidi w:val="0"/>
              <w:rPr>
                <w:rFonts w:hint="default"/>
                <w:color w:val="auto"/>
              </w:rPr>
            </w:pPr>
          </w:p>
        </w:tc>
        <w:tc>
          <w:tcPr>
            <w:tcW w:w="2204" w:type="dxa"/>
            <w:noWrap w:val="0"/>
            <w:vAlign w:val="center"/>
          </w:tcPr>
          <w:p w14:paraId="075903CC">
            <w:pPr>
              <w:pStyle w:val="23"/>
              <w:bidi w:val="0"/>
              <w:rPr>
                <w:rFonts w:hint="default"/>
                <w:color w:val="auto"/>
              </w:rPr>
            </w:pPr>
          </w:p>
        </w:tc>
        <w:tc>
          <w:tcPr>
            <w:tcW w:w="1732" w:type="dxa"/>
            <w:vMerge w:val="continue"/>
            <w:noWrap w:val="0"/>
            <w:vAlign w:val="center"/>
          </w:tcPr>
          <w:p w14:paraId="5712F03E">
            <w:pPr>
              <w:pStyle w:val="23"/>
              <w:bidi w:val="0"/>
              <w:rPr>
                <w:rFonts w:hint="default"/>
                <w:color w:val="auto"/>
              </w:rPr>
            </w:pPr>
          </w:p>
        </w:tc>
        <w:tc>
          <w:tcPr>
            <w:tcW w:w="1299" w:type="dxa"/>
            <w:noWrap w:val="0"/>
            <w:vAlign w:val="center"/>
          </w:tcPr>
          <w:p w14:paraId="38FA89C8">
            <w:pPr>
              <w:pStyle w:val="23"/>
              <w:bidi w:val="0"/>
              <w:rPr>
                <w:rFonts w:hint="default"/>
                <w:color w:val="auto"/>
              </w:rPr>
            </w:pPr>
          </w:p>
        </w:tc>
        <w:tc>
          <w:tcPr>
            <w:tcW w:w="1023" w:type="dxa"/>
            <w:noWrap w:val="0"/>
            <w:vAlign w:val="center"/>
          </w:tcPr>
          <w:p w14:paraId="225F1766">
            <w:pPr>
              <w:pStyle w:val="23"/>
              <w:bidi w:val="0"/>
              <w:rPr>
                <w:rFonts w:hint="default"/>
                <w:color w:val="auto"/>
              </w:rPr>
            </w:pPr>
          </w:p>
        </w:tc>
      </w:tr>
      <w:tr w14:paraId="31B7AF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continue"/>
            <w:noWrap w:val="0"/>
            <w:vAlign w:val="center"/>
          </w:tcPr>
          <w:p w14:paraId="074400A3">
            <w:pPr>
              <w:pStyle w:val="23"/>
              <w:bidi w:val="0"/>
              <w:rPr>
                <w:rFonts w:hint="default"/>
                <w:color w:val="auto"/>
              </w:rPr>
            </w:pPr>
          </w:p>
        </w:tc>
        <w:tc>
          <w:tcPr>
            <w:tcW w:w="1737" w:type="dxa"/>
            <w:noWrap w:val="0"/>
            <w:vAlign w:val="center"/>
          </w:tcPr>
          <w:p w14:paraId="019C53BB">
            <w:pPr>
              <w:pStyle w:val="23"/>
              <w:bidi w:val="0"/>
              <w:rPr>
                <w:rFonts w:hint="default"/>
                <w:color w:val="auto"/>
              </w:rPr>
            </w:pPr>
          </w:p>
        </w:tc>
        <w:tc>
          <w:tcPr>
            <w:tcW w:w="1941" w:type="dxa"/>
            <w:noWrap w:val="0"/>
            <w:vAlign w:val="center"/>
          </w:tcPr>
          <w:p w14:paraId="4C825E7F">
            <w:pPr>
              <w:pStyle w:val="23"/>
              <w:bidi w:val="0"/>
              <w:rPr>
                <w:rFonts w:hint="default"/>
                <w:color w:val="auto"/>
              </w:rPr>
            </w:pPr>
          </w:p>
        </w:tc>
        <w:tc>
          <w:tcPr>
            <w:tcW w:w="1500" w:type="dxa"/>
            <w:noWrap w:val="0"/>
            <w:vAlign w:val="center"/>
          </w:tcPr>
          <w:p w14:paraId="5EA91F45">
            <w:pPr>
              <w:pStyle w:val="23"/>
              <w:bidi w:val="0"/>
              <w:rPr>
                <w:rFonts w:hint="default"/>
                <w:color w:val="auto"/>
              </w:rPr>
            </w:pPr>
          </w:p>
        </w:tc>
        <w:tc>
          <w:tcPr>
            <w:tcW w:w="1709" w:type="dxa"/>
            <w:noWrap w:val="0"/>
            <w:vAlign w:val="center"/>
          </w:tcPr>
          <w:p w14:paraId="2F3C00C4">
            <w:pPr>
              <w:pStyle w:val="23"/>
              <w:bidi w:val="0"/>
              <w:rPr>
                <w:rFonts w:hint="default"/>
                <w:color w:val="auto"/>
              </w:rPr>
            </w:pPr>
          </w:p>
        </w:tc>
        <w:tc>
          <w:tcPr>
            <w:tcW w:w="2204" w:type="dxa"/>
            <w:noWrap w:val="0"/>
            <w:vAlign w:val="center"/>
          </w:tcPr>
          <w:p w14:paraId="0CF2CBC3">
            <w:pPr>
              <w:pStyle w:val="23"/>
              <w:bidi w:val="0"/>
              <w:rPr>
                <w:rFonts w:hint="default"/>
                <w:color w:val="auto"/>
              </w:rPr>
            </w:pPr>
          </w:p>
        </w:tc>
        <w:tc>
          <w:tcPr>
            <w:tcW w:w="1732" w:type="dxa"/>
            <w:vMerge w:val="continue"/>
            <w:noWrap w:val="0"/>
            <w:vAlign w:val="center"/>
          </w:tcPr>
          <w:p w14:paraId="08DC7690">
            <w:pPr>
              <w:pStyle w:val="23"/>
              <w:bidi w:val="0"/>
              <w:rPr>
                <w:rFonts w:hint="default"/>
                <w:color w:val="auto"/>
              </w:rPr>
            </w:pPr>
          </w:p>
        </w:tc>
        <w:tc>
          <w:tcPr>
            <w:tcW w:w="1299" w:type="dxa"/>
            <w:noWrap w:val="0"/>
            <w:vAlign w:val="center"/>
          </w:tcPr>
          <w:p w14:paraId="71CAE326">
            <w:pPr>
              <w:pStyle w:val="23"/>
              <w:bidi w:val="0"/>
              <w:rPr>
                <w:rFonts w:hint="default"/>
                <w:color w:val="auto"/>
              </w:rPr>
            </w:pPr>
          </w:p>
        </w:tc>
        <w:tc>
          <w:tcPr>
            <w:tcW w:w="1023" w:type="dxa"/>
            <w:noWrap w:val="0"/>
            <w:vAlign w:val="center"/>
          </w:tcPr>
          <w:p w14:paraId="0920B22C">
            <w:pPr>
              <w:pStyle w:val="23"/>
              <w:bidi w:val="0"/>
              <w:rPr>
                <w:rFonts w:hint="default"/>
                <w:color w:val="auto"/>
              </w:rPr>
            </w:pPr>
          </w:p>
        </w:tc>
      </w:tr>
      <w:tr w14:paraId="04DB9D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continue"/>
            <w:noWrap w:val="0"/>
            <w:vAlign w:val="center"/>
          </w:tcPr>
          <w:p w14:paraId="1848696A">
            <w:pPr>
              <w:pStyle w:val="23"/>
              <w:bidi w:val="0"/>
              <w:rPr>
                <w:rFonts w:hint="default"/>
                <w:color w:val="auto"/>
              </w:rPr>
            </w:pPr>
          </w:p>
        </w:tc>
        <w:tc>
          <w:tcPr>
            <w:tcW w:w="1737" w:type="dxa"/>
            <w:noWrap w:val="0"/>
            <w:vAlign w:val="center"/>
          </w:tcPr>
          <w:p w14:paraId="5CE5ABCC">
            <w:pPr>
              <w:pStyle w:val="23"/>
              <w:bidi w:val="0"/>
              <w:rPr>
                <w:rFonts w:hint="default"/>
                <w:color w:val="auto"/>
              </w:rPr>
            </w:pPr>
          </w:p>
        </w:tc>
        <w:tc>
          <w:tcPr>
            <w:tcW w:w="1941" w:type="dxa"/>
            <w:noWrap w:val="0"/>
            <w:vAlign w:val="center"/>
          </w:tcPr>
          <w:p w14:paraId="24EC7866">
            <w:pPr>
              <w:pStyle w:val="23"/>
              <w:bidi w:val="0"/>
              <w:rPr>
                <w:rFonts w:hint="default"/>
                <w:color w:val="auto"/>
              </w:rPr>
            </w:pPr>
          </w:p>
        </w:tc>
        <w:tc>
          <w:tcPr>
            <w:tcW w:w="1500" w:type="dxa"/>
            <w:noWrap w:val="0"/>
            <w:vAlign w:val="center"/>
          </w:tcPr>
          <w:p w14:paraId="048BFF76">
            <w:pPr>
              <w:pStyle w:val="23"/>
              <w:bidi w:val="0"/>
              <w:rPr>
                <w:rFonts w:hint="default"/>
                <w:color w:val="auto"/>
              </w:rPr>
            </w:pPr>
          </w:p>
        </w:tc>
        <w:tc>
          <w:tcPr>
            <w:tcW w:w="1709" w:type="dxa"/>
            <w:noWrap w:val="0"/>
            <w:vAlign w:val="center"/>
          </w:tcPr>
          <w:p w14:paraId="6D1DC797">
            <w:pPr>
              <w:pStyle w:val="23"/>
              <w:bidi w:val="0"/>
              <w:rPr>
                <w:rFonts w:hint="default"/>
                <w:color w:val="auto"/>
              </w:rPr>
            </w:pPr>
          </w:p>
        </w:tc>
        <w:tc>
          <w:tcPr>
            <w:tcW w:w="2204" w:type="dxa"/>
            <w:noWrap w:val="0"/>
            <w:vAlign w:val="center"/>
          </w:tcPr>
          <w:p w14:paraId="5521D9F9">
            <w:pPr>
              <w:pStyle w:val="23"/>
              <w:bidi w:val="0"/>
              <w:rPr>
                <w:rFonts w:hint="default"/>
                <w:color w:val="auto"/>
              </w:rPr>
            </w:pPr>
          </w:p>
        </w:tc>
        <w:tc>
          <w:tcPr>
            <w:tcW w:w="1732" w:type="dxa"/>
            <w:vMerge w:val="continue"/>
            <w:noWrap w:val="0"/>
            <w:vAlign w:val="center"/>
          </w:tcPr>
          <w:p w14:paraId="47A618CE">
            <w:pPr>
              <w:pStyle w:val="23"/>
              <w:bidi w:val="0"/>
              <w:rPr>
                <w:rFonts w:hint="default"/>
                <w:color w:val="auto"/>
              </w:rPr>
            </w:pPr>
          </w:p>
        </w:tc>
        <w:tc>
          <w:tcPr>
            <w:tcW w:w="1299" w:type="dxa"/>
            <w:noWrap w:val="0"/>
            <w:vAlign w:val="center"/>
          </w:tcPr>
          <w:p w14:paraId="7464D594">
            <w:pPr>
              <w:pStyle w:val="23"/>
              <w:bidi w:val="0"/>
              <w:rPr>
                <w:rFonts w:hint="default"/>
                <w:color w:val="auto"/>
              </w:rPr>
            </w:pPr>
          </w:p>
        </w:tc>
        <w:tc>
          <w:tcPr>
            <w:tcW w:w="1023" w:type="dxa"/>
            <w:noWrap w:val="0"/>
            <w:vAlign w:val="center"/>
          </w:tcPr>
          <w:p w14:paraId="7F61E6DC">
            <w:pPr>
              <w:pStyle w:val="23"/>
              <w:bidi w:val="0"/>
              <w:rPr>
                <w:rFonts w:hint="default"/>
                <w:color w:val="auto"/>
              </w:rPr>
            </w:pPr>
          </w:p>
        </w:tc>
      </w:tr>
      <w:tr w14:paraId="3B4B4A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continue"/>
            <w:noWrap w:val="0"/>
            <w:vAlign w:val="center"/>
          </w:tcPr>
          <w:p w14:paraId="043037F6">
            <w:pPr>
              <w:pStyle w:val="23"/>
              <w:bidi w:val="0"/>
              <w:rPr>
                <w:rFonts w:hint="default"/>
                <w:color w:val="auto"/>
              </w:rPr>
            </w:pPr>
          </w:p>
        </w:tc>
        <w:tc>
          <w:tcPr>
            <w:tcW w:w="1737" w:type="dxa"/>
            <w:noWrap w:val="0"/>
            <w:vAlign w:val="center"/>
          </w:tcPr>
          <w:p w14:paraId="7288E4AF">
            <w:pPr>
              <w:pStyle w:val="23"/>
              <w:bidi w:val="0"/>
              <w:rPr>
                <w:rFonts w:hint="default"/>
                <w:color w:val="auto"/>
              </w:rPr>
            </w:pPr>
          </w:p>
        </w:tc>
        <w:tc>
          <w:tcPr>
            <w:tcW w:w="1941" w:type="dxa"/>
            <w:noWrap w:val="0"/>
            <w:vAlign w:val="center"/>
          </w:tcPr>
          <w:p w14:paraId="07B05F3B">
            <w:pPr>
              <w:pStyle w:val="23"/>
              <w:bidi w:val="0"/>
              <w:rPr>
                <w:rFonts w:hint="default"/>
                <w:color w:val="auto"/>
              </w:rPr>
            </w:pPr>
          </w:p>
        </w:tc>
        <w:tc>
          <w:tcPr>
            <w:tcW w:w="1500" w:type="dxa"/>
            <w:noWrap w:val="0"/>
            <w:vAlign w:val="center"/>
          </w:tcPr>
          <w:p w14:paraId="5EE2A9A7">
            <w:pPr>
              <w:pStyle w:val="23"/>
              <w:bidi w:val="0"/>
              <w:rPr>
                <w:rFonts w:hint="default"/>
                <w:color w:val="auto"/>
              </w:rPr>
            </w:pPr>
          </w:p>
        </w:tc>
        <w:tc>
          <w:tcPr>
            <w:tcW w:w="1709" w:type="dxa"/>
            <w:noWrap w:val="0"/>
            <w:vAlign w:val="center"/>
          </w:tcPr>
          <w:p w14:paraId="7DC927D5">
            <w:pPr>
              <w:pStyle w:val="23"/>
              <w:bidi w:val="0"/>
              <w:rPr>
                <w:rFonts w:hint="default"/>
                <w:color w:val="auto"/>
              </w:rPr>
            </w:pPr>
          </w:p>
        </w:tc>
        <w:tc>
          <w:tcPr>
            <w:tcW w:w="2204" w:type="dxa"/>
            <w:noWrap w:val="0"/>
            <w:vAlign w:val="center"/>
          </w:tcPr>
          <w:p w14:paraId="35AECCBE">
            <w:pPr>
              <w:pStyle w:val="23"/>
              <w:bidi w:val="0"/>
              <w:rPr>
                <w:rFonts w:hint="eastAsia"/>
                <w:color w:val="auto"/>
                <w:lang w:eastAsia="zh-CN"/>
              </w:rPr>
            </w:pPr>
          </w:p>
        </w:tc>
        <w:tc>
          <w:tcPr>
            <w:tcW w:w="1732" w:type="dxa"/>
            <w:noWrap w:val="0"/>
            <w:vAlign w:val="center"/>
          </w:tcPr>
          <w:p w14:paraId="23ABE086">
            <w:pPr>
              <w:pStyle w:val="23"/>
              <w:bidi w:val="0"/>
              <w:rPr>
                <w:rFonts w:hint="default"/>
                <w:color w:val="auto"/>
              </w:rPr>
            </w:pPr>
          </w:p>
        </w:tc>
        <w:tc>
          <w:tcPr>
            <w:tcW w:w="1299" w:type="dxa"/>
            <w:noWrap w:val="0"/>
            <w:vAlign w:val="center"/>
          </w:tcPr>
          <w:p w14:paraId="386B3071">
            <w:pPr>
              <w:pStyle w:val="23"/>
              <w:bidi w:val="0"/>
              <w:rPr>
                <w:rFonts w:hint="default"/>
                <w:color w:val="auto"/>
                <w:lang w:val="en-US" w:eastAsia="zh-CN"/>
              </w:rPr>
            </w:pPr>
          </w:p>
        </w:tc>
        <w:tc>
          <w:tcPr>
            <w:tcW w:w="1023" w:type="dxa"/>
            <w:noWrap w:val="0"/>
            <w:vAlign w:val="center"/>
          </w:tcPr>
          <w:p w14:paraId="18378A1E">
            <w:pPr>
              <w:pStyle w:val="23"/>
              <w:bidi w:val="0"/>
              <w:rPr>
                <w:rFonts w:hint="default"/>
                <w:color w:val="auto"/>
              </w:rPr>
            </w:pPr>
          </w:p>
        </w:tc>
      </w:tr>
      <w:tr w14:paraId="2887699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restart"/>
            <w:noWrap w:val="0"/>
            <w:vAlign w:val="center"/>
          </w:tcPr>
          <w:p w14:paraId="79FCE831">
            <w:pPr>
              <w:pStyle w:val="23"/>
              <w:bidi w:val="0"/>
              <w:rPr>
                <w:rFonts w:hint="default"/>
                <w:color w:val="auto"/>
              </w:rPr>
            </w:pPr>
          </w:p>
        </w:tc>
        <w:tc>
          <w:tcPr>
            <w:tcW w:w="1737" w:type="dxa"/>
            <w:noWrap w:val="0"/>
            <w:vAlign w:val="center"/>
          </w:tcPr>
          <w:p w14:paraId="4EFC447F">
            <w:pPr>
              <w:pStyle w:val="23"/>
              <w:bidi w:val="0"/>
              <w:rPr>
                <w:rFonts w:hint="default"/>
                <w:color w:val="auto"/>
              </w:rPr>
            </w:pPr>
          </w:p>
        </w:tc>
        <w:tc>
          <w:tcPr>
            <w:tcW w:w="1941" w:type="dxa"/>
            <w:noWrap w:val="0"/>
            <w:vAlign w:val="center"/>
          </w:tcPr>
          <w:p w14:paraId="0570BE06">
            <w:pPr>
              <w:pStyle w:val="23"/>
              <w:bidi w:val="0"/>
              <w:rPr>
                <w:rFonts w:hint="default"/>
                <w:color w:val="auto"/>
              </w:rPr>
            </w:pPr>
          </w:p>
        </w:tc>
        <w:tc>
          <w:tcPr>
            <w:tcW w:w="1500" w:type="dxa"/>
            <w:noWrap w:val="0"/>
            <w:vAlign w:val="center"/>
          </w:tcPr>
          <w:p w14:paraId="6EC16EE7">
            <w:pPr>
              <w:pStyle w:val="23"/>
              <w:bidi w:val="0"/>
              <w:rPr>
                <w:rFonts w:hint="default"/>
                <w:color w:val="auto"/>
              </w:rPr>
            </w:pPr>
          </w:p>
        </w:tc>
        <w:tc>
          <w:tcPr>
            <w:tcW w:w="1709" w:type="dxa"/>
            <w:noWrap w:val="0"/>
            <w:vAlign w:val="center"/>
          </w:tcPr>
          <w:p w14:paraId="26EDA86F">
            <w:pPr>
              <w:pStyle w:val="23"/>
              <w:bidi w:val="0"/>
              <w:rPr>
                <w:rFonts w:hint="default"/>
                <w:color w:val="auto"/>
              </w:rPr>
            </w:pPr>
          </w:p>
        </w:tc>
        <w:tc>
          <w:tcPr>
            <w:tcW w:w="2204" w:type="dxa"/>
            <w:noWrap w:val="0"/>
            <w:vAlign w:val="center"/>
          </w:tcPr>
          <w:p w14:paraId="2E578411">
            <w:pPr>
              <w:pStyle w:val="23"/>
              <w:bidi w:val="0"/>
              <w:rPr>
                <w:rFonts w:hint="default"/>
                <w:color w:val="auto"/>
              </w:rPr>
            </w:pPr>
          </w:p>
        </w:tc>
        <w:tc>
          <w:tcPr>
            <w:tcW w:w="1732" w:type="dxa"/>
            <w:noWrap w:val="0"/>
            <w:vAlign w:val="center"/>
          </w:tcPr>
          <w:p w14:paraId="1924BC60">
            <w:pPr>
              <w:pStyle w:val="23"/>
              <w:bidi w:val="0"/>
              <w:rPr>
                <w:rFonts w:hint="default"/>
                <w:color w:val="auto"/>
              </w:rPr>
            </w:pPr>
          </w:p>
        </w:tc>
        <w:tc>
          <w:tcPr>
            <w:tcW w:w="1299" w:type="dxa"/>
            <w:noWrap w:val="0"/>
            <w:vAlign w:val="center"/>
          </w:tcPr>
          <w:p w14:paraId="460AFEB3">
            <w:pPr>
              <w:pStyle w:val="23"/>
              <w:bidi w:val="0"/>
              <w:rPr>
                <w:rFonts w:hint="default"/>
                <w:color w:val="auto"/>
              </w:rPr>
            </w:pPr>
          </w:p>
        </w:tc>
        <w:tc>
          <w:tcPr>
            <w:tcW w:w="1023" w:type="dxa"/>
            <w:noWrap w:val="0"/>
            <w:vAlign w:val="center"/>
          </w:tcPr>
          <w:p w14:paraId="2C34087F">
            <w:pPr>
              <w:pStyle w:val="23"/>
              <w:bidi w:val="0"/>
              <w:rPr>
                <w:rFonts w:hint="default"/>
                <w:color w:val="auto"/>
              </w:rPr>
            </w:pPr>
          </w:p>
        </w:tc>
      </w:tr>
      <w:tr w14:paraId="11E58A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cantSplit/>
          <w:trHeight w:val="340" w:hRule="atLeast"/>
          <w:jc w:val="center"/>
        </w:trPr>
        <w:tc>
          <w:tcPr>
            <w:tcW w:w="1028" w:type="dxa"/>
            <w:vMerge w:val="continue"/>
            <w:noWrap w:val="0"/>
            <w:vAlign w:val="center"/>
          </w:tcPr>
          <w:p w14:paraId="56AECA08">
            <w:pPr>
              <w:pStyle w:val="23"/>
              <w:bidi w:val="0"/>
              <w:rPr>
                <w:rFonts w:hint="default"/>
                <w:color w:val="auto"/>
              </w:rPr>
            </w:pPr>
          </w:p>
        </w:tc>
        <w:tc>
          <w:tcPr>
            <w:tcW w:w="1737" w:type="dxa"/>
            <w:noWrap w:val="0"/>
            <w:vAlign w:val="center"/>
          </w:tcPr>
          <w:p w14:paraId="0ABAE364">
            <w:pPr>
              <w:pStyle w:val="23"/>
              <w:bidi w:val="0"/>
              <w:rPr>
                <w:rFonts w:hint="default"/>
                <w:color w:val="auto"/>
              </w:rPr>
            </w:pPr>
          </w:p>
        </w:tc>
        <w:tc>
          <w:tcPr>
            <w:tcW w:w="1941" w:type="dxa"/>
            <w:noWrap w:val="0"/>
            <w:vAlign w:val="center"/>
          </w:tcPr>
          <w:p w14:paraId="6929D5ED">
            <w:pPr>
              <w:pStyle w:val="23"/>
              <w:bidi w:val="0"/>
              <w:rPr>
                <w:rFonts w:hint="default"/>
                <w:color w:val="auto"/>
              </w:rPr>
            </w:pPr>
          </w:p>
        </w:tc>
        <w:tc>
          <w:tcPr>
            <w:tcW w:w="1500" w:type="dxa"/>
            <w:noWrap w:val="0"/>
            <w:vAlign w:val="center"/>
          </w:tcPr>
          <w:p w14:paraId="7F89D7D4">
            <w:pPr>
              <w:pStyle w:val="23"/>
              <w:bidi w:val="0"/>
              <w:rPr>
                <w:rFonts w:hint="default"/>
                <w:color w:val="auto"/>
              </w:rPr>
            </w:pPr>
          </w:p>
        </w:tc>
        <w:tc>
          <w:tcPr>
            <w:tcW w:w="1709" w:type="dxa"/>
            <w:noWrap w:val="0"/>
            <w:vAlign w:val="center"/>
          </w:tcPr>
          <w:p w14:paraId="43FE2C29">
            <w:pPr>
              <w:pStyle w:val="23"/>
              <w:bidi w:val="0"/>
              <w:rPr>
                <w:rFonts w:hint="default"/>
                <w:color w:val="auto"/>
              </w:rPr>
            </w:pPr>
          </w:p>
        </w:tc>
        <w:tc>
          <w:tcPr>
            <w:tcW w:w="2204" w:type="dxa"/>
            <w:noWrap w:val="0"/>
            <w:vAlign w:val="center"/>
          </w:tcPr>
          <w:p w14:paraId="380A27DF">
            <w:pPr>
              <w:pStyle w:val="23"/>
              <w:bidi w:val="0"/>
              <w:rPr>
                <w:rFonts w:hint="default"/>
                <w:color w:val="auto"/>
              </w:rPr>
            </w:pPr>
          </w:p>
        </w:tc>
        <w:tc>
          <w:tcPr>
            <w:tcW w:w="1732" w:type="dxa"/>
            <w:noWrap w:val="0"/>
            <w:vAlign w:val="center"/>
          </w:tcPr>
          <w:p w14:paraId="2D8C634E">
            <w:pPr>
              <w:pStyle w:val="23"/>
              <w:bidi w:val="0"/>
              <w:rPr>
                <w:rFonts w:hint="default"/>
                <w:color w:val="auto"/>
              </w:rPr>
            </w:pPr>
          </w:p>
        </w:tc>
        <w:tc>
          <w:tcPr>
            <w:tcW w:w="1299" w:type="dxa"/>
            <w:noWrap w:val="0"/>
            <w:vAlign w:val="center"/>
          </w:tcPr>
          <w:p w14:paraId="45346222">
            <w:pPr>
              <w:pStyle w:val="23"/>
              <w:bidi w:val="0"/>
              <w:rPr>
                <w:rFonts w:hint="default"/>
                <w:color w:val="auto"/>
              </w:rPr>
            </w:pPr>
          </w:p>
        </w:tc>
        <w:tc>
          <w:tcPr>
            <w:tcW w:w="1023" w:type="dxa"/>
            <w:noWrap w:val="0"/>
            <w:vAlign w:val="center"/>
          </w:tcPr>
          <w:p w14:paraId="69D0F482">
            <w:pPr>
              <w:pStyle w:val="23"/>
              <w:bidi w:val="0"/>
              <w:rPr>
                <w:rFonts w:hint="default"/>
                <w:color w:val="auto"/>
              </w:rPr>
            </w:pPr>
          </w:p>
        </w:tc>
      </w:tr>
      <w:tr w14:paraId="4E614E9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continue"/>
            <w:noWrap w:val="0"/>
            <w:vAlign w:val="center"/>
          </w:tcPr>
          <w:p w14:paraId="113910FA">
            <w:pPr>
              <w:pStyle w:val="23"/>
              <w:bidi w:val="0"/>
              <w:rPr>
                <w:rFonts w:hint="default"/>
                <w:color w:val="auto"/>
              </w:rPr>
            </w:pPr>
          </w:p>
        </w:tc>
        <w:tc>
          <w:tcPr>
            <w:tcW w:w="1737" w:type="dxa"/>
            <w:noWrap w:val="0"/>
            <w:vAlign w:val="center"/>
          </w:tcPr>
          <w:p w14:paraId="57AF56A0">
            <w:pPr>
              <w:pStyle w:val="23"/>
              <w:bidi w:val="0"/>
              <w:rPr>
                <w:rFonts w:hint="default"/>
                <w:color w:val="auto"/>
              </w:rPr>
            </w:pPr>
          </w:p>
        </w:tc>
        <w:tc>
          <w:tcPr>
            <w:tcW w:w="1941" w:type="dxa"/>
            <w:noWrap w:val="0"/>
            <w:vAlign w:val="center"/>
          </w:tcPr>
          <w:p w14:paraId="5C0897A0">
            <w:pPr>
              <w:pStyle w:val="23"/>
              <w:bidi w:val="0"/>
              <w:rPr>
                <w:rFonts w:hint="default"/>
                <w:color w:val="auto"/>
              </w:rPr>
            </w:pPr>
          </w:p>
        </w:tc>
        <w:tc>
          <w:tcPr>
            <w:tcW w:w="1500" w:type="dxa"/>
            <w:noWrap w:val="0"/>
            <w:vAlign w:val="center"/>
          </w:tcPr>
          <w:p w14:paraId="4497F09F">
            <w:pPr>
              <w:pStyle w:val="23"/>
              <w:bidi w:val="0"/>
              <w:rPr>
                <w:rFonts w:hint="default"/>
                <w:color w:val="auto"/>
              </w:rPr>
            </w:pPr>
          </w:p>
        </w:tc>
        <w:tc>
          <w:tcPr>
            <w:tcW w:w="1709" w:type="dxa"/>
            <w:noWrap w:val="0"/>
            <w:vAlign w:val="center"/>
          </w:tcPr>
          <w:p w14:paraId="2B9A3CF4">
            <w:pPr>
              <w:pStyle w:val="23"/>
              <w:bidi w:val="0"/>
              <w:rPr>
                <w:rFonts w:hint="default"/>
                <w:color w:val="auto"/>
              </w:rPr>
            </w:pPr>
          </w:p>
        </w:tc>
        <w:tc>
          <w:tcPr>
            <w:tcW w:w="2204" w:type="dxa"/>
            <w:noWrap w:val="0"/>
            <w:vAlign w:val="center"/>
          </w:tcPr>
          <w:p w14:paraId="52D90642">
            <w:pPr>
              <w:pStyle w:val="23"/>
              <w:bidi w:val="0"/>
              <w:rPr>
                <w:rFonts w:hint="default"/>
                <w:color w:val="auto"/>
              </w:rPr>
            </w:pPr>
          </w:p>
        </w:tc>
        <w:tc>
          <w:tcPr>
            <w:tcW w:w="1732" w:type="dxa"/>
            <w:noWrap w:val="0"/>
            <w:vAlign w:val="center"/>
          </w:tcPr>
          <w:p w14:paraId="4FD2F55A">
            <w:pPr>
              <w:pStyle w:val="23"/>
              <w:bidi w:val="0"/>
              <w:rPr>
                <w:rFonts w:hint="default"/>
                <w:color w:val="auto"/>
              </w:rPr>
            </w:pPr>
          </w:p>
        </w:tc>
        <w:tc>
          <w:tcPr>
            <w:tcW w:w="1299" w:type="dxa"/>
            <w:noWrap w:val="0"/>
            <w:vAlign w:val="center"/>
          </w:tcPr>
          <w:p w14:paraId="169E7DCC">
            <w:pPr>
              <w:pStyle w:val="23"/>
              <w:bidi w:val="0"/>
              <w:rPr>
                <w:rFonts w:hint="default"/>
                <w:color w:val="auto"/>
              </w:rPr>
            </w:pPr>
          </w:p>
        </w:tc>
        <w:tc>
          <w:tcPr>
            <w:tcW w:w="1023" w:type="dxa"/>
            <w:noWrap w:val="0"/>
            <w:vAlign w:val="center"/>
          </w:tcPr>
          <w:p w14:paraId="4E23B598">
            <w:pPr>
              <w:pStyle w:val="23"/>
              <w:bidi w:val="0"/>
              <w:rPr>
                <w:rFonts w:hint="default"/>
                <w:color w:val="auto"/>
              </w:rPr>
            </w:pPr>
          </w:p>
        </w:tc>
      </w:tr>
      <w:tr w14:paraId="078DA8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restart"/>
            <w:noWrap w:val="0"/>
            <w:vAlign w:val="center"/>
          </w:tcPr>
          <w:p w14:paraId="28792E4A">
            <w:pPr>
              <w:pStyle w:val="23"/>
              <w:bidi w:val="0"/>
              <w:rPr>
                <w:rFonts w:hint="default"/>
                <w:color w:val="auto"/>
              </w:rPr>
            </w:pPr>
          </w:p>
        </w:tc>
        <w:tc>
          <w:tcPr>
            <w:tcW w:w="1737" w:type="dxa"/>
            <w:noWrap w:val="0"/>
            <w:vAlign w:val="center"/>
          </w:tcPr>
          <w:p w14:paraId="0A06D7EE">
            <w:pPr>
              <w:pStyle w:val="23"/>
              <w:bidi w:val="0"/>
              <w:rPr>
                <w:rFonts w:hint="default"/>
                <w:color w:val="auto"/>
              </w:rPr>
            </w:pPr>
          </w:p>
        </w:tc>
        <w:tc>
          <w:tcPr>
            <w:tcW w:w="1941" w:type="dxa"/>
            <w:noWrap w:val="0"/>
            <w:vAlign w:val="center"/>
          </w:tcPr>
          <w:p w14:paraId="5D3A6E4B">
            <w:pPr>
              <w:pStyle w:val="23"/>
              <w:bidi w:val="0"/>
              <w:rPr>
                <w:rFonts w:hint="default"/>
                <w:color w:val="auto"/>
              </w:rPr>
            </w:pPr>
          </w:p>
        </w:tc>
        <w:tc>
          <w:tcPr>
            <w:tcW w:w="1500" w:type="dxa"/>
            <w:noWrap w:val="0"/>
            <w:vAlign w:val="center"/>
          </w:tcPr>
          <w:p w14:paraId="307BF672">
            <w:pPr>
              <w:pStyle w:val="23"/>
              <w:bidi w:val="0"/>
              <w:rPr>
                <w:rFonts w:hint="default"/>
                <w:color w:val="auto"/>
              </w:rPr>
            </w:pPr>
          </w:p>
        </w:tc>
        <w:tc>
          <w:tcPr>
            <w:tcW w:w="1709" w:type="dxa"/>
            <w:noWrap w:val="0"/>
            <w:vAlign w:val="center"/>
          </w:tcPr>
          <w:p w14:paraId="688F0FB6">
            <w:pPr>
              <w:pStyle w:val="23"/>
              <w:bidi w:val="0"/>
              <w:rPr>
                <w:rFonts w:hint="default"/>
                <w:color w:val="auto"/>
                <w:lang w:val="en-US" w:eastAsia="zh-CN"/>
              </w:rPr>
            </w:pPr>
          </w:p>
        </w:tc>
        <w:tc>
          <w:tcPr>
            <w:tcW w:w="3936" w:type="dxa"/>
            <w:gridSpan w:val="2"/>
            <w:vMerge w:val="restart"/>
            <w:noWrap w:val="0"/>
            <w:vAlign w:val="center"/>
          </w:tcPr>
          <w:p w14:paraId="0CB6777C">
            <w:pPr>
              <w:pStyle w:val="23"/>
              <w:bidi w:val="0"/>
              <w:rPr>
                <w:rFonts w:hint="default"/>
                <w:color w:val="auto"/>
              </w:rPr>
            </w:pPr>
          </w:p>
        </w:tc>
        <w:tc>
          <w:tcPr>
            <w:tcW w:w="1299" w:type="dxa"/>
            <w:noWrap w:val="0"/>
            <w:vAlign w:val="center"/>
          </w:tcPr>
          <w:p w14:paraId="23BC4BAC">
            <w:pPr>
              <w:pStyle w:val="23"/>
              <w:bidi w:val="0"/>
              <w:rPr>
                <w:rFonts w:hint="default"/>
                <w:color w:val="auto"/>
              </w:rPr>
            </w:pPr>
          </w:p>
        </w:tc>
        <w:tc>
          <w:tcPr>
            <w:tcW w:w="1023" w:type="dxa"/>
            <w:noWrap w:val="0"/>
            <w:vAlign w:val="center"/>
          </w:tcPr>
          <w:p w14:paraId="45050204">
            <w:pPr>
              <w:pStyle w:val="23"/>
              <w:bidi w:val="0"/>
              <w:rPr>
                <w:rFonts w:hint="default"/>
                <w:color w:val="auto"/>
              </w:rPr>
            </w:pPr>
          </w:p>
        </w:tc>
      </w:tr>
      <w:tr w14:paraId="0699C9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cantSplit/>
          <w:trHeight w:val="340" w:hRule="atLeast"/>
          <w:jc w:val="center"/>
        </w:trPr>
        <w:tc>
          <w:tcPr>
            <w:tcW w:w="1028" w:type="dxa"/>
            <w:vMerge w:val="continue"/>
            <w:noWrap w:val="0"/>
            <w:vAlign w:val="center"/>
          </w:tcPr>
          <w:p w14:paraId="74EDE80D">
            <w:pPr>
              <w:pStyle w:val="23"/>
              <w:bidi w:val="0"/>
              <w:rPr>
                <w:rFonts w:hint="default"/>
                <w:color w:val="auto"/>
              </w:rPr>
            </w:pPr>
          </w:p>
        </w:tc>
        <w:tc>
          <w:tcPr>
            <w:tcW w:w="1737" w:type="dxa"/>
            <w:noWrap w:val="0"/>
            <w:vAlign w:val="center"/>
          </w:tcPr>
          <w:p w14:paraId="430B1C5D">
            <w:pPr>
              <w:pStyle w:val="23"/>
              <w:bidi w:val="0"/>
              <w:rPr>
                <w:rFonts w:hint="default"/>
                <w:color w:val="auto"/>
              </w:rPr>
            </w:pPr>
          </w:p>
        </w:tc>
        <w:tc>
          <w:tcPr>
            <w:tcW w:w="1941" w:type="dxa"/>
            <w:noWrap w:val="0"/>
            <w:vAlign w:val="center"/>
          </w:tcPr>
          <w:p w14:paraId="7B5B766B">
            <w:pPr>
              <w:pStyle w:val="23"/>
              <w:bidi w:val="0"/>
              <w:rPr>
                <w:rFonts w:hint="default"/>
                <w:color w:val="auto"/>
              </w:rPr>
            </w:pPr>
          </w:p>
        </w:tc>
        <w:tc>
          <w:tcPr>
            <w:tcW w:w="1500" w:type="dxa"/>
            <w:noWrap w:val="0"/>
            <w:vAlign w:val="center"/>
          </w:tcPr>
          <w:p w14:paraId="3DF92696">
            <w:pPr>
              <w:pStyle w:val="23"/>
              <w:bidi w:val="0"/>
              <w:rPr>
                <w:rFonts w:hint="default"/>
                <w:color w:val="auto"/>
              </w:rPr>
            </w:pPr>
          </w:p>
        </w:tc>
        <w:tc>
          <w:tcPr>
            <w:tcW w:w="1709" w:type="dxa"/>
            <w:noWrap w:val="0"/>
            <w:vAlign w:val="center"/>
          </w:tcPr>
          <w:p w14:paraId="5CE45CBF">
            <w:pPr>
              <w:pStyle w:val="23"/>
              <w:bidi w:val="0"/>
              <w:rPr>
                <w:rFonts w:hint="default"/>
                <w:color w:val="auto"/>
              </w:rPr>
            </w:pPr>
          </w:p>
        </w:tc>
        <w:tc>
          <w:tcPr>
            <w:tcW w:w="3936" w:type="dxa"/>
            <w:gridSpan w:val="2"/>
            <w:vMerge w:val="continue"/>
            <w:noWrap w:val="0"/>
            <w:vAlign w:val="center"/>
          </w:tcPr>
          <w:p w14:paraId="223056BE">
            <w:pPr>
              <w:pStyle w:val="23"/>
              <w:bidi w:val="0"/>
              <w:rPr>
                <w:rFonts w:hint="default"/>
                <w:color w:val="auto"/>
              </w:rPr>
            </w:pPr>
          </w:p>
        </w:tc>
        <w:tc>
          <w:tcPr>
            <w:tcW w:w="2322" w:type="dxa"/>
            <w:gridSpan w:val="2"/>
            <w:vMerge w:val="restart"/>
            <w:noWrap w:val="0"/>
            <w:vAlign w:val="center"/>
          </w:tcPr>
          <w:p w14:paraId="4F4827E2">
            <w:pPr>
              <w:pStyle w:val="23"/>
              <w:bidi w:val="0"/>
              <w:rPr>
                <w:rFonts w:hint="default"/>
                <w:color w:val="auto"/>
              </w:rPr>
            </w:pPr>
          </w:p>
        </w:tc>
      </w:tr>
      <w:tr w14:paraId="60E027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028" w:type="dxa"/>
            <w:vMerge w:val="continue"/>
            <w:noWrap w:val="0"/>
            <w:vAlign w:val="center"/>
          </w:tcPr>
          <w:p w14:paraId="7BCEE940">
            <w:pPr>
              <w:pStyle w:val="23"/>
              <w:bidi w:val="0"/>
              <w:rPr>
                <w:rFonts w:hint="default"/>
                <w:color w:val="auto"/>
              </w:rPr>
            </w:pPr>
          </w:p>
        </w:tc>
        <w:tc>
          <w:tcPr>
            <w:tcW w:w="1737" w:type="dxa"/>
            <w:noWrap w:val="0"/>
            <w:vAlign w:val="center"/>
          </w:tcPr>
          <w:p w14:paraId="135252B2">
            <w:pPr>
              <w:pStyle w:val="23"/>
              <w:bidi w:val="0"/>
              <w:rPr>
                <w:rFonts w:hint="default"/>
                <w:color w:val="auto"/>
              </w:rPr>
            </w:pPr>
          </w:p>
        </w:tc>
        <w:tc>
          <w:tcPr>
            <w:tcW w:w="1941" w:type="dxa"/>
            <w:noWrap w:val="0"/>
            <w:vAlign w:val="center"/>
          </w:tcPr>
          <w:p w14:paraId="428A1BE5">
            <w:pPr>
              <w:pStyle w:val="23"/>
              <w:bidi w:val="0"/>
              <w:rPr>
                <w:rFonts w:hint="default"/>
                <w:color w:val="auto"/>
              </w:rPr>
            </w:pPr>
          </w:p>
        </w:tc>
        <w:tc>
          <w:tcPr>
            <w:tcW w:w="1500" w:type="dxa"/>
            <w:noWrap w:val="0"/>
            <w:vAlign w:val="center"/>
          </w:tcPr>
          <w:p w14:paraId="2CE7C6FA">
            <w:pPr>
              <w:pStyle w:val="23"/>
              <w:bidi w:val="0"/>
              <w:rPr>
                <w:rFonts w:hint="default"/>
                <w:color w:val="auto"/>
              </w:rPr>
            </w:pPr>
          </w:p>
        </w:tc>
        <w:tc>
          <w:tcPr>
            <w:tcW w:w="1709" w:type="dxa"/>
            <w:noWrap w:val="0"/>
            <w:vAlign w:val="center"/>
          </w:tcPr>
          <w:p w14:paraId="488D4FCF">
            <w:pPr>
              <w:pStyle w:val="23"/>
              <w:bidi w:val="0"/>
              <w:rPr>
                <w:rFonts w:hint="default"/>
                <w:color w:val="auto"/>
              </w:rPr>
            </w:pPr>
          </w:p>
        </w:tc>
        <w:tc>
          <w:tcPr>
            <w:tcW w:w="3936" w:type="dxa"/>
            <w:gridSpan w:val="2"/>
            <w:vMerge w:val="continue"/>
            <w:noWrap w:val="0"/>
            <w:vAlign w:val="center"/>
          </w:tcPr>
          <w:p w14:paraId="12C07AED">
            <w:pPr>
              <w:pStyle w:val="23"/>
              <w:bidi w:val="0"/>
              <w:rPr>
                <w:rFonts w:hint="default"/>
                <w:color w:val="auto"/>
              </w:rPr>
            </w:pPr>
          </w:p>
        </w:tc>
        <w:tc>
          <w:tcPr>
            <w:tcW w:w="2322" w:type="dxa"/>
            <w:gridSpan w:val="2"/>
            <w:vMerge w:val="continue"/>
            <w:noWrap w:val="0"/>
            <w:vAlign w:val="center"/>
          </w:tcPr>
          <w:p w14:paraId="02BC8E08">
            <w:pPr>
              <w:pStyle w:val="23"/>
              <w:bidi w:val="0"/>
              <w:rPr>
                <w:rFonts w:hint="default"/>
                <w:color w:val="auto"/>
              </w:rPr>
            </w:pPr>
          </w:p>
        </w:tc>
      </w:tr>
    </w:tbl>
    <w:p w14:paraId="416D96A7">
      <w:pPr>
        <w:bidi w:val="0"/>
        <w:rPr>
          <w:rFonts w:hint="default" w:ascii="Times New Roman" w:hAnsi="Times New Roman" w:cs="Times New Roman"/>
          <w:color w:val="auto"/>
          <w:lang w:val="en-US" w:eastAsia="zh-CN"/>
        </w:rPr>
        <w:sectPr>
          <w:pgSz w:w="16841" w:h="11912" w:orient="landscape"/>
          <w:pgMar w:top="1701" w:right="1701" w:bottom="1417" w:left="1701" w:header="1078" w:footer="991" w:gutter="0"/>
          <w:pgNumType w:fmt="decimal"/>
          <w:cols w:space="720" w:num="1"/>
        </w:sectPr>
      </w:pPr>
    </w:p>
    <w:p w14:paraId="44AC85FB">
      <w:pPr>
        <w:pStyle w:val="24"/>
        <w:bidi w:val="0"/>
        <w:rPr>
          <w:rFonts w:hint="default" w:ascii="Times New Roman" w:hAnsi="Times New Roman" w:eastAsia="宋体" w:cs="Times New Roman"/>
          <w:color w:val="auto"/>
          <w:lang w:val="en-US" w:eastAsia="zh-CN"/>
        </w:rPr>
      </w:pPr>
      <w:r>
        <w:rPr>
          <w:rFonts w:hint="eastAsia" w:cs="Times New Roman"/>
          <w:color w:val="auto"/>
          <w:lang w:val="en-US" w:eastAsia="zh-CN"/>
        </w:rPr>
        <w:t>涉密删除</w:t>
      </w:r>
    </w:p>
    <w:p w14:paraId="035C7ED7">
      <w:pPr>
        <w:pStyle w:val="25"/>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图 3.</w:t>
      </w:r>
      <w:r>
        <w:rPr>
          <w:rFonts w:hint="default" w:ascii="Times New Roman" w:hAnsi="Times New Roman" w:cs="Times New Roman"/>
          <w:color w:val="auto"/>
          <w:lang w:val="en-US" w:eastAsia="zh-CN"/>
        </w:rPr>
        <w:t>1-1</w:t>
      </w:r>
      <w:r>
        <w:rPr>
          <w:rFonts w:hint="default" w:ascii="Times New Roman" w:hAnsi="Times New Roman" w:cs="Times New Roman"/>
          <w:color w:val="auto"/>
        </w:rPr>
        <w:t>项目地理位置</w:t>
      </w:r>
      <w:r>
        <w:rPr>
          <w:rFonts w:hint="default" w:ascii="Times New Roman" w:hAnsi="Times New Roman" w:cs="Times New Roman"/>
          <w:color w:val="auto"/>
          <w:lang w:val="en-US" w:eastAsia="zh-CN"/>
        </w:rPr>
        <w:t>图</w:t>
      </w:r>
    </w:p>
    <w:p w14:paraId="188C41E6">
      <w:pPr>
        <w:pStyle w:val="24"/>
        <w:bidi w:val="0"/>
        <w:rPr>
          <w:rFonts w:hint="default" w:ascii="Times New Roman" w:hAnsi="Times New Roman" w:eastAsia="宋体" w:cs="Times New Roman"/>
          <w:color w:val="auto"/>
          <w:lang w:val="en-US" w:eastAsia="zh-CN"/>
        </w:rPr>
      </w:pPr>
      <w:r>
        <w:rPr>
          <w:rFonts w:hint="eastAsia" w:cs="Times New Roman"/>
          <w:color w:val="auto"/>
          <w:lang w:val="en-US" w:eastAsia="zh-CN"/>
        </w:rPr>
        <w:t>涉密删除</w:t>
      </w:r>
    </w:p>
    <w:p w14:paraId="19377910">
      <w:pPr>
        <w:pStyle w:val="25"/>
        <w:bidi w:val="0"/>
        <w:rPr>
          <w:rFonts w:hint="default" w:ascii="Times New Roman" w:hAnsi="Times New Roman" w:cs="Times New Roman"/>
          <w:color w:val="auto"/>
        </w:rPr>
      </w:pPr>
      <w:r>
        <w:rPr>
          <w:rFonts w:hint="default" w:ascii="Times New Roman" w:hAnsi="Times New Roman" w:cs="Times New Roman"/>
          <w:color w:val="auto"/>
        </w:rPr>
        <w:t>图3.</w:t>
      </w:r>
      <w:r>
        <w:rPr>
          <w:rFonts w:hint="default" w:ascii="Times New Roman" w:hAnsi="Times New Roman" w:cs="Times New Roman"/>
          <w:color w:val="auto"/>
          <w:lang w:val="en-US" w:eastAsia="zh-CN"/>
        </w:rPr>
        <w:t xml:space="preserve">1-2  </w:t>
      </w:r>
      <w:r>
        <w:rPr>
          <w:rFonts w:hint="default" w:ascii="Times New Roman" w:hAnsi="Times New Roman" w:cs="Times New Roman"/>
          <w:color w:val="auto"/>
        </w:rPr>
        <w:t>园区功能区分布</w:t>
      </w:r>
    </w:p>
    <w:p w14:paraId="5D42EE77">
      <w:pPr>
        <w:pStyle w:val="24"/>
        <w:bidi w:val="0"/>
        <w:rPr>
          <w:rFonts w:hint="default"/>
          <w:color w:val="auto"/>
          <w:lang w:val="en-US" w:eastAsia="zh-CN"/>
        </w:rPr>
      </w:pPr>
      <w:r>
        <w:rPr>
          <w:rFonts w:hint="eastAsia"/>
          <w:color w:val="auto"/>
          <w:lang w:val="en-US" w:eastAsia="zh-CN"/>
        </w:rPr>
        <w:t>涉密删除</w:t>
      </w:r>
    </w:p>
    <w:p w14:paraId="5238DDD6">
      <w:pPr>
        <w:pStyle w:val="25"/>
        <w:bidi w:val="0"/>
        <w:rPr>
          <w:rFonts w:hint="default" w:ascii="Times New Roman" w:hAnsi="Times New Roman" w:cs="Times New Roman"/>
          <w:color w:val="auto"/>
          <w:lang w:val="en-US" w:eastAsia="zh-CN"/>
        </w:rPr>
      </w:pPr>
      <w:r>
        <w:rPr>
          <w:rFonts w:hint="default" w:ascii="Times New Roman" w:hAnsi="Times New Roman" w:cs="Times New Roman"/>
          <w:color w:val="auto"/>
        </w:rPr>
        <w:t>图3.</w:t>
      </w:r>
      <w:r>
        <w:rPr>
          <w:rFonts w:hint="default" w:ascii="Times New Roman" w:hAnsi="Times New Roman" w:cs="Times New Roman"/>
          <w:color w:val="auto"/>
          <w:lang w:val="en-US" w:eastAsia="zh-CN"/>
        </w:rPr>
        <w:t xml:space="preserve">1-3 </w:t>
      </w:r>
      <w:r>
        <w:rPr>
          <w:rFonts w:hint="default" w:ascii="Times New Roman" w:hAnsi="Times New Roman" w:cs="Times New Roman"/>
          <w:color w:val="auto"/>
        </w:rPr>
        <w:t>项目</w:t>
      </w:r>
      <w:r>
        <w:rPr>
          <w:rFonts w:hint="default" w:ascii="Times New Roman" w:hAnsi="Times New Roman" w:cs="Times New Roman"/>
          <w:color w:val="auto"/>
          <w:lang w:val="en-US" w:eastAsia="zh-CN"/>
        </w:rPr>
        <w:t>周边关系图</w:t>
      </w:r>
    </w:p>
    <w:p w14:paraId="1ED46FDD">
      <w:pPr>
        <w:pStyle w:val="25"/>
        <w:bidi w:val="0"/>
        <w:rPr>
          <w:rFonts w:hint="default" w:ascii="Times New Roman" w:hAnsi="Times New Roman" w:cs="Times New Roman"/>
          <w:b w:val="0"/>
          <w:bCs/>
          <w:color w:val="auto"/>
          <w:lang w:val="en-US" w:eastAsia="zh-CN"/>
        </w:rPr>
      </w:pPr>
      <w:r>
        <w:rPr>
          <w:rFonts w:hint="eastAsia" w:cs="Times New Roman"/>
          <w:b w:val="0"/>
          <w:bCs/>
          <w:color w:val="auto"/>
          <w:lang w:val="en-US" w:eastAsia="zh-CN"/>
        </w:rPr>
        <w:t>涉密删除</w:t>
      </w:r>
    </w:p>
    <w:p w14:paraId="66955174">
      <w:pPr>
        <w:pStyle w:val="25"/>
        <w:bidi w:val="0"/>
        <w:rPr>
          <w:rFonts w:hint="eastAsia" w:ascii="Times New Roman" w:hAnsi="Times New Roman" w:eastAsia="宋体" w:cs="Times New Roman"/>
          <w:color w:val="auto"/>
          <w:lang w:val="en-US" w:eastAsia="zh-CN"/>
        </w:rPr>
      </w:pPr>
      <w:r>
        <w:rPr>
          <w:rFonts w:hint="default" w:ascii="Times New Roman" w:hAnsi="Times New Roman" w:cs="Times New Roman"/>
          <w:color w:val="auto"/>
        </w:rPr>
        <w:t>图3.</w:t>
      </w:r>
      <w:r>
        <w:rPr>
          <w:rFonts w:hint="default" w:ascii="Times New Roman" w:hAnsi="Times New Roman" w:cs="Times New Roman"/>
          <w:color w:val="auto"/>
          <w:lang w:val="en-US" w:eastAsia="zh-CN"/>
        </w:rPr>
        <w:t>1-</w:t>
      </w:r>
      <w:r>
        <w:rPr>
          <w:rFonts w:hint="default" w:ascii="Times New Roman" w:hAnsi="Times New Roman" w:cs="Times New Roman"/>
          <w:color w:val="auto"/>
        </w:rPr>
        <w:t>4</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项目</w:t>
      </w:r>
      <w:r>
        <w:rPr>
          <w:rFonts w:hint="eastAsia" w:cs="Times New Roman"/>
          <w:color w:val="auto"/>
          <w:lang w:val="en-US" w:eastAsia="zh-CN"/>
        </w:rPr>
        <w:t>总</w:t>
      </w:r>
      <w:r>
        <w:rPr>
          <w:rFonts w:hint="default" w:ascii="Times New Roman" w:hAnsi="Times New Roman" w:cs="Times New Roman"/>
          <w:color w:val="auto"/>
        </w:rPr>
        <w:t>平面布置</w:t>
      </w:r>
      <w:r>
        <w:rPr>
          <w:rFonts w:hint="eastAsia" w:cs="Times New Roman"/>
          <w:color w:val="auto"/>
          <w:lang w:val="en-US" w:eastAsia="zh-CN"/>
        </w:rPr>
        <w:t>图</w:t>
      </w:r>
    </w:p>
    <w:p w14:paraId="5C74E297">
      <w:pPr>
        <w:pStyle w:val="24"/>
        <w:bidi w:val="0"/>
        <w:rPr>
          <w:rFonts w:hint="default" w:ascii="Times New Roman" w:hAnsi="Times New Roman" w:cs="Times New Roman"/>
          <w:color w:val="auto"/>
          <w:lang w:val="en-US" w:eastAsia="zh-CN"/>
        </w:rPr>
      </w:pPr>
      <w:r>
        <w:rPr>
          <w:rFonts w:hint="eastAsia" w:cs="Times New Roman"/>
          <w:color w:val="auto"/>
          <w:lang w:val="en-US" w:eastAsia="zh-CN"/>
        </w:rPr>
        <w:t>涉密删除</w:t>
      </w:r>
    </w:p>
    <w:p w14:paraId="6F6037A0">
      <w:pPr>
        <w:pStyle w:val="25"/>
        <w:bidi w:val="0"/>
        <w:rPr>
          <w:rFonts w:hint="default" w:ascii="Times New Roman" w:hAnsi="Times New Roman" w:cs="Times New Roman"/>
          <w:color w:val="auto"/>
          <w:lang w:val="en-US" w:eastAsia="zh-CN"/>
        </w:rPr>
      </w:pPr>
      <w:r>
        <w:rPr>
          <w:rFonts w:hint="default" w:ascii="Times New Roman" w:hAnsi="Times New Roman" w:cs="Times New Roman"/>
          <w:color w:val="auto"/>
        </w:rPr>
        <w:t>图3.</w:t>
      </w:r>
      <w:r>
        <w:rPr>
          <w:rFonts w:hint="default" w:ascii="Times New Roman" w:hAnsi="Times New Roman" w:cs="Times New Roman"/>
          <w:color w:val="auto"/>
          <w:lang w:val="en-US" w:eastAsia="zh-CN"/>
        </w:rPr>
        <w:t xml:space="preserve">1-5  </w:t>
      </w:r>
      <w:r>
        <w:rPr>
          <w:rFonts w:hint="default" w:ascii="Times New Roman" w:hAnsi="Times New Roman" w:cs="Times New Roman"/>
          <w:color w:val="auto"/>
        </w:rPr>
        <w:t>项目</w:t>
      </w:r>
      <w:r>
        <w:rPr>
          <w:rFonts w:hint="default" w:ascii="Times New Roman" w:hAnsi="Times New Roman" w:cs="Times New Roman"/>
          <w:color w:val="auto"/>
          <w:lang w:val="en-US" w:eastAsia="zh-CN"/>
        </w:rPr>
        <w:t>2#厂房车间</w:t>
      </w:r>
      <w:r>
        <w:rPr>
          <w:rFonts w:hint="default" w:ascii="Times New Roman" w:hAnsi="Times New Roman" w:cs="Times New Roman"/>
          <w:color w:val="auto"/>
        </w:rPr>
        <w:t>平面布置</w:t>
      </w:r>
      <w:r>
        <w:rPr>
          <w:rFonts w:hint="default" w:ascii="Times New Roman" w:hAnsi="Times New Roman" w:cs="Times New Roman"/>
          <w:color w:val="auto"/>
          <w:lang w:val="en-US" w:eastAsia="zh-CN"/>
        </w:rPr>
        <w:t>图</w:t>
      </w:r>
    </w:p>
    <w:p w14:paraId="72DD5366">
      <w:pPr>
        <w:pStyle w:val="24"/>
        <w:bidi w:val="0"/>
        <w:rPr>
          <w:rFonts w:hint="default" w:ascii="Times New Roman" w:hAnsi="Times New Roman" w:cs="Times New Roman"/>
          <w:color w:val="auto"/>
          <w:lang w:val="en-US" w:eastAsia="zh-CN"/>
        </w:rPr>
      </w:pPr>
      <w:r>
        <w:rPr>
          <w:rFonts w:hint="eastAsia" w:cs="Times New Roman"/>
          <w:color w:val="auto"/>
          <w:lang w:val="en-US" w:eastAsia="zh-CN"/>
        </w:rPr>
        <w:t>涉密删除</w:t>
      </w:r>
    </w:p>
    <w:p w14:paraId="4B125019">
      <w:pPr>
        <w:pStyle w:val="25"/>
        <w:bidi w:val="0"/>
        <w:rPr>
          <w:rFonts w:hint="default" w:ascii="Times New Roman" w:hAnsi="Times New Roman" w:cs="Times New Roman"/>
          <w:color w:val="auto"/>
          <w:lang w:val="en-US" w:eastAsia="zh-CN"/>
        </w:rPr>
      </w:pPr>
      <w:r>
        <w:rPr>
          <w:rFonts w:hint="default" w:ascii="Times New Roman" w:hAnsi="Times New Roman" w:cs="Times New Roman"/>
          <w:color w:val="auto"/>
        </w:rPr>
        <w:t>图3.</w:t>
      </w:r>
      <w:r>
        <w:rPr>
          <w:rFonts w:hint="default" w:ascii="Times New Roman" w:hAnsi="Times New Roman" w:cs="Times New Roman"/>
          <w:color w:val="auto"/>
          <w:lang w:val="en-US" w:eastAsia="zh-CN"/>
        </w:rPr>
        <w:t xml:space="preserve">1-6  </w:t>
      </w:r>
      <w:r>
        <w:rPr>
          <w:rFonts w:hint="default" w:ascii="Times New Roman" w:hAnsi="Times New Roman" w:cs="Times New Roman"/>
          <w:color w:val="auto"/>
        </w:rPr>
        <w:t>项目</w:t>
      </w:r>
      <w:r>
        <w:rPr>
          <w:rFonts w:hint="default" w:ascii="Times New Roman" w:hAnsi="Times New Roman" w:cs="Times New Roman"/>
          <w:color w:val="auto"/>
          <w:lang w:val="en-US" w:eastAsia="zh-CN"/>
        </w:rPr>
        <w:t>雨污管网图</w:t>
      </w:r>
    </w:p>
    <w:p w14:paraId="33A8D393">
      <w:pPr>
        <w:pStyle w:val="24"/>
        <w:bidi w:val="0"/>
        <w:rPr>
          <w:rFonts w:hint="default"/>
          <w:color w:val="auto"/>
        </w:rPr>
      </w:pPr>
      <w:r>
        <w:rPr>
          <w:rFonts w:hint="eastAsia"/>
          <w:color w:val="auto"/>
          <w:lang w:val="en-US" w:eastAsia="zh-CN"/>
        </w:rPr>
        <w:t>涉密删除</w:t>
      </w:r>
    </w:p>
    <w:p w14:paraId="70663743">
      <w:pPr>
        <w:pStyle w:val="25"/>
        <w:bidi w:val="0"/>
        <w:rPr>
          <w:rFonts w:hint="default" w:ascii="Times New Roman" w:hAnsi="Times New Roman" w:cs="Times New Roman"/>
          <w:color w:val="auto"/>
          <w:lang w:val="en-US" w:eastAsia="zh-CN"/>
        </w:rPr>
      </w:pPr>
      <w:r>
        <w:rPr>
          <w:rFonts w:hint="default" w:ascii="Times New Roman" w:hAnsi="Times New Roman" w:cs="Times New Roman"/>
          <w:color w:val="auto"/>
        </w:rPr>
        <w:t>图3.</w:t>
      </w:r>
      <w:r>
        <w:rPr>
          <w:rFonts w:hint="default" w:ascii="Times New Roman" w:hAnsi="Times New Roman" w:cs="Times New Roman"/>
          <w:color w:val="auto"/>
          <w:lang w:val="en-US" w:eastAsia="zh-CN"/>
        </w:rPr>
        <w:t xml:space="preserve">1-7  </w:t>
      </w:r>
      <w:r>
        <w:rPr>
          <w:rFonts w:hint="default" w:ascii="Times New Roman" w:hAnsi="Times New Roman" w:cs="Times New Roman"/>
          <w:color w:val="auto"/>
        </w:rPr>
        <w:t>项目</w:t>
      </w:r>
      <w:r>
        <w:rPr>
          <w:rFonts w:hint="default" w:ascii="Times New Roman" w:hAnsi="Times New Roman" w:cs="Times New Roman"/>
          <w:color w:val="auto"/>
          <w:lang w:val="en-US" w:eastAsia="zh-CN"/>
        </w:rPr>
        <w:t>厂区边界外</w:t>
      </w:r>
      <w:r>
        <w:rPr>
          <w:rFonts w:hint="eastAsia" w:cs="Times New Roman"/>
          <w:color w:val="auto"/>
          <w:lang w:val="en-US" w:eastAsia="zh-CN"/>
        </w:rPr>
        <w:t>保护目标</w:t>
      </w:r>
      <w:r>
        <w:rPr>
          <w:rFonts w:hint="default" w:ascii="Times New Roman" w:hAnsi="Times New Roman" w:cs="Times New Roman"/>
          <w:color w:val="auto"/>
          <w:lang w:val="en-US" w:eastAsia="zh-CN"/>
        </w:rPr>
        <w:t>分布图</w:t>
      </w:r>
    </w:p>
    <w:p w14:paraId="7D68B531">
      <w:pPr>
        <w:pStyle w:val="25"/>
        <w:bidi w:val="0"/>
        <w:rPr>
          <w:rFonts w:hint="default" w:ascii="Times New Roman" w:hAnsi="Times New Roman" w:cs="Times New Roman"/>
          <w:color w:val="auto"/>
        </w:rPr>
        <w:sectPr>
          <w:headerReference r:id="rId8" w:type="default"/>
          <w:footerReference r:id="rId9" w:type="default"/>
          <w:pgSz w:w="16841" w:h="11912"/>
          <w:pgMar w:top="864" w:right="1408" w:bottom="525" w:left="1411" w:header="653" w:footer="348" w:gutter="0"/>
          <w:pgNumType w:fmt="decimal"/>
          <w:cols w:space="720" w:num="1"/>
        </w:sectPr>
      </w:pPr>
    </w:p>
    <w:p w14:paraId="6DD68648">
      <w:pPr>
        <w:pStyle w:val="3"/>
        <w:bidi w:val="0"/>
        <w:rPr>
          <w:rFonts w:hint="default" w:ascii="Times New Roman" w:hAnsi="Times New Roman" w:cs="Times New Roman"/>
          <w:color w:val="auto"/>
        </w:rPr>
      </w:pPr>
      <w:bookmarkStart w:id="15" w:name="_Toc1606"/>
      <w:r>
        <w:rPr>
          <w:rFonts w:hint="default" w:ascii="Times New Roman" w:hAnsi="Times New Roman" w:cs="Times New Roman"/>
          <w:color w:val="auto"/>
        </w:rPr>
        <w:t>3.2建设内容</w:t>
      </w:r>
      <w:bookmarkEnd w:id="15"/>
    </w:p>
    <w:p w14:paraId="41235FCA">
      <w:pPr>
        <w:pStyle w:val="4"/>
        <w:bidi w:val="0"/>
        <w:rPr>
          <w:rFonts w:hint="default" w:ascii="Times New Roman" w:hAnsi="Times New Roman" w:cs="Times New Roman"/>
          <w:color w:val="auto"/>
          <w:lang w:val="en-US" w:eastAsia="zh-CN"/>
        </w:rPr>
      </w:pPr>
      <w:bookmarkStart w:id="16" w:name="_Toc19462"/>
      <w:r>
        <w:rPr>
          <w:rFonts w:hint="default" w:ascii="Times New Roman" w:hAnsi="Times New Roman" w:cs="Times New Roman"/>
          <w:color w:val="auto"/>
          <w:lang w:val="en-US" w:eastAsia="zh-CN"/>
        </w:rPr>
        <w:t>3.2.1项目产品及生产规模</w:t>
      </w:r>
      <w:bookmarkEnd w:id="16"/>
    </w:p>
    <w:p w14:paraId="65EC430A">
      <w:pPr>
        <w:bidi w:val="0"/>
        <w:rPr>
          <w:rFonts w:hint="default"/>
          <w:color w:val="auto"/>
        </w:rPr>
      </w:pPr>
      <w:r>
        <w:rPr>
          <w:rFonts w:hint="default"/>
          <w:color w:val="auto"/>
        </w:rPr>
        <w:t>本项目未新增用地，在现有工程的2#厂房内新增一条处理能力为100t/d的生产线，年新增处理垃圾焚烧飞灰能力3.3万吨。</w:t>
      </w:r>
    </w:p>
    <w:p w14:paraId="5409A182">
      <w:pPr>
        <w:pStyle w:val="4"/>
        <w:bidi w:val="0"/>
        <w:rPr>
          <w:rFonts w:hint="default" w:ascii="Times New Roman" w:hAnsi="Times New Roman" w:cs="Times New Roman"/>
          <w:color w:val="auto"/>
          <w:lang w:val="en-US" w:eastAsia="zh-CN"/>
        </w:rPr>
      </w:pPr>
      <w:bookmarkStart w:id="17" w:name="_Toc21567"/>
      <w:r>
        <w:rPr>
          <w:rFonts w:hint="default" w:ascii="Times New Roman" w:hAnsi="Times New Roman" w:cs="Times New Roman"/>
          <w:color w:val="auto"/>
          <w:lang w:val="en-US" w:eastAsia="zh-CN"/>
        </w:rPr>
        <w:t>3.2.2项目投资金额</w:t>
      </w:r>
      <w:bookmarkEnd w:id="17"/>
    </w:p>
    <w:p w14:paraId="38A6B2B5">
      <w:pP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项目本次验收时总投资金额与原环评一致</w:t>
      </w:r>
      <w:r>
        <w:rPr>
          <w:rFonts w:hint="eastAsia" w:ascii="Times New Roman" w:hAnsi="Times New Roman" w:cs="Times New Roman"/>
          <w:b w:val="0"/>
          <w:bCs w:val="0"/>
          <w:color w:val="auto"/>
          <w:sz w:val="24"/>
          <w:szCs w:val="24"/>
          <w:lang w:val="en-US" w:eastAsia="zh-CN"/>
        </w:rPr>
        <w:t>，均为</w:t>
      </w:r>
      <w:r>
        <w:rPr>
          <w:rFonts w:hint="default" w:ascii="Times New Roman" w:hAnsi="Times New Roman" w:cs="Times New Roman"/>
          <w:b w:val="0"/>
          <w:bCs w:val="0"/>
          <w:color w:val="auto"/>
          <w:sz w:val="24"/>
          <w:szCs w:val="24"/>
          <w:lang w:val="en-US" w:eastAsia="zh-CN"/>
        </w:rPr>
        <w:t>500万元。</w:t>
      </w:r>
    </w:p>
    <w:p w14:paraId="505DE573">
      <w:pPr>
        <w:pStyle w:val="4"/>
        <w:bidi w:val="0"/>
        <w:rPr>
          <w:rFonts w:hint="default" w:ascii="Times New Roman" w:hAnsi="Times New Roman" w:cs="Times New Roman"/>
          <w:color w:val="auto"/>
        </w:rPr>
      </w:pPr>
      <w:bookmarkStart w:id="18" w:name="_Toc540"/>
      <w:r>
        <w:rPr>
          <w:rFonts w:hint="default" w:ascii="Times New Roman" w:hAnsi="Times New Roman" w:cs="Times New Roman"/>
          <w:color w:val="auto"/>
          <w:lang w:val="en-US" w:eastAsia="zh-CN"/>
        </w:rPr>
        <w:t>3.2.3项目组成</w:t>
      </w:r>
      <w:bookmarkEnd w:id="18"/>
    </w:p>
    <w:p w14:paraId="009FA92B">
      <w:pPr>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b w:val="0"/>
          <w:bCs w:val="0"/>
          <w:color w:val="auto"/>
          <w:sz w:val="24"/>
          <w:szCs w:val="24"/>
          <w:lang w:val="en-US" w:eastAsia="zh-CN"/>
        </w:rPr>
        <w:t>故</w:t>
      </w:r>
      <w:r>
        <w:rPr>
          <w:rFonts w:hint="default" w:ascii="Times New Roman" w:hAnsi="Times New Roman" w:eastAsia="宋体" w:cs="Times New Roman"/>
          <w:b w:val="0"/>
          <w:bCs w:val="0"/>
          <w:color w:val="auto"/>
          <w:sz w:val="24"/>
          <w:szCs w:val="24"/>
        </w:rPr>
        <w:t>本次验收建设内容：</w:t>
      </w:r>
      <w:r>
        <w:rPr>
          <w:rFonts w:hint="default" w:ascii="Times New Roman" w:hAnsi="Times New Roman" w:eastAsia="TimesNewRomanPSMT" w:cs="Times New Roman"/>
          <w:b w:val="0"/>
          <w:bCs w:val="0"/>
          <w:color w:val="auto"/>
          <w:sz w:val="24"/>
          <w:szCs w:val="24"/>
        </w:rPr>
        <w:t>2#</w:t>
      </w:r>
      <w:r>
        <w:rPr>
          <w:rFonts w:hint="default" w:ascii="Times New Roman" w:hAnsi="Times New Roman" w:eastAsia="宋体" w:cs="Times New Roman"/>
          <w:b w:val="0"/>
          <w:bCs w:val="0"/>
          <w:color w:val="auto"/>
          <w:sz w:val="24"/>
          <w:szCs w:val="24"/>
        </w:rPr>
        <w:t>厂房</w:t>
      </w:r>
      <w:r>
        <w:rPr>
          <w:rFonts w:hint="default" w:ascii="Times New Roman" w:hAnsi="Times New Roman" w:eastAsia="宋体" w:cs="Times New Roman"/>
          <w:b w:val="0"/>
          <w:bCs w:val="0"/>
          <w:color w:val="auto"/>
          <w:sz w:val="24"/>
          <w:szCs w:val="24"/>
          <w:lang w:eastAsia="zh-CN"/>
        </w:rPr>
        <w:t>新增生产线</w:t>
      </w:r>
      <w:r>
        <w:rPr>
          <w:rFonts w:hint="default" w:ascii="Times New Roman" w:hAnsi="Times New Roman" w:eastAsia="宋体" w:cs="Times New Roman"/>
          <w:b w:val="0"/>
          <w:bCs w:val="0"/>
          <w:color w:val="auto"/>
          <w:sz w:val="24"/>
          <w:szCs w:val="24"/>
        </w:rPr>
        <w:t>，</w:t>
      </w:r>
      <w:r>
        <w:rPr>
          <w:rFonts w:hint="default" w:ascii="Times New Roman" w:hAnsi="Times New Roman" w:eastAsia="宋体" w:cs="Times New Roman"/>
          <w:b w:val="0"/>
          <w:bCs w:val="0"/>
          <w:color w:val="auto"/>
          <w:sz w:val="24"/>
          <w:szCs w:val="24"/>
          <w:lang w:eastAsia="zh-CN"/>
        </w:rPr>
        <w:t>包括</w:t>
      </w:r>
      <w:r>
        <w:rPr>
          <w:rFonts w:hint="default" w:ascii="Times New Roman" w:hAnsi="Times New Roman" w:eastAsia="宋体" w:cs="Times New Roman"/>
          <w:b w:val="0"/>
          <w:bCs w:val="0"/>
          <w:color w:val="auto"/>
          <w:sz w:val="24"/>
          <w:szCs w:val="24"/>
        </w:rPr>
        <w:t>生产作业区、控制室、药剂储藏室</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其中生产作业区包括飞灰预处理间（</w:t>
      </w:r>
      <w:r>
        <w:rPr>
          <w:rFonts w:hint="default" w:ascii="Times New Roman" w:hAnsi="Times New Roman" w:eastAsia="TimesNewRomanPSMT" w:cs="Times New Roman"/>
          <w:b w:val="0"/>
          <w:bCs w:val="0"/>
          <w:color w:val="auto"/>
          <w:sz w:val="24"/>
          <w:szCs w:val="24"/>
        </w:rPr>
        <w:t>1</w:t>
      </w:r>
      <w:r>
        <w:rPr>
          <w:rFonts w:hint="default" w:ascii="Times New Roman" w:hAnsi="Times New Roman" w:eastAsia="宋体" w:cs="Times New Roman"/>
          <w:b w:val="0"/>
          <w:bCs w:val="0"/>
          <w:color w:val="auto"/>
          <w:sz w:val="24"/>
          <w:szCs w:val="24"/>
        </w:rPr>
        <w:t>条处理能力为</w:t>
      </w:r>
      <w:r>
        <w:rPr>
          <w:rFonts w:hint="default" w:ascii="Times New Roman" w:hAnsi="Times New Roman" w:eastAsia="TimesNewRomanPSMT" w:cs="Times New Roman"/>
          <w:b w:val="0"/>
          <w:bCs w:val="0"/>
          <w:color w:val="auto"/>
          <w:sz w:val="24"/>
          <w:szCs w:val="24"/>
        </w:rPr>
        <w:t>100t/d</w:t>
      </w:r>
      <w:r>
        <w:rPr>
          <w:rFonts w:hint="default" w:ascii="Times New Roman" w:hAnsi="Times New Roman" w:eastAsia="宋体" w:cs="Times New Roman"/>
          <w:b w:val="0"/>
          <w:bCs w:val="0"/>
          <w:color w:val="auto"/>
          <w:sz w:val="24"/>
          <w:szCs w:val="24"/>
        </w:rPr>
        <w:t>飞灰稳定化预处理生产线）。新建布袋除尘器、减振隔声系统等配套设备，其余配套设施（雨污排水系统</w:t>
      </w:r>
      <w:r>
        <w:rPr>
          <w:rFonts w:hint="default" w:ascii="Times New Roman" w:hAnsi="Times New Roman"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机修间、</w:t>
      </w:r>
      <w:r>
        <w:rPr>
          <w:rFonts w:hint="default" w:ascii="Times New Roman" w:hAnsi="Times New Roman" w:eastAsia="宋体" w:cs="Times New Roman"/>
          <w:b w:val="0"/>
          <w:bCs w:val="0"/>
          <w:color w:val="auto"/>
          <w:sz w:val="24"/>
          <w:szCs w:val="24"/>
          <w:lang w:eastAsia="zh-CN"/>
        </w:rPr>
        <w:t>危废间、工具间、</w:t>
      </w:r>
      <w:r>
        <w:rPr>
          <w:rFonts w:hint="default" w:ascii="Times New Roman" w:hAnsi="Times New Roman" w:eastAsia="宋体" w:cs="Times New Roman"/>
          <w:b w:val="0"/>
          <w:bCs w:val="0"/>
          <w:color w:val="auto"/>
          <w:sz w:val="24"/>
          <w:szCs w:val="24"/>
        </w:rPr>
        <w:t>空压机间、办公综合楼、化粪池等）均依托现有工程</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本项目</w:t>
      </w:r>
      <w:r>
        <w:rPr>
          <w:rFonts w:hint="default" w:ascii="Times New Roman" w:hAnsi="Times New Roman" w:eastAsia="宋体" w:cs="Times New Roman"/>
          <w:b w:val="0"/>
          <w:bCs w:val="0"/>
          <w:color w:val="auto"/>
          <w:sz w:val="24"/>
          <w:szCs w:val="24"/>
        </w:rPr>
        <w:t>实验室</w:t>
      </w:r>
      <w:r>
        <w:rPr>
          <w:rFonts w:hint="default" w:ascii="Times New Roman" w:hAnsi="Times New Roman" w:cs="Times New Roman"/>
          <w:b w:val="0"/>
          <w:bCs w:val="0"/>
          <w:color w:val="auto"/>
          <w:sz w:val="24"/>
          <w:szCs w:val="24"/>
          <w:lang w:val="en-US" w:eastAsia="zh-CN"/>
        </w:rPr>
        <w:t>已停用，需要检测项目均依托第三方检测机构进行分析检</w:t>
      </w:r>
      <w:r>
        <w:rPr>
          <w:rFonts w:hint="default" w:ascii="Times New Roman" w:hAnsi="Times New Roman" w:cs="Times New Roman"/>
          <w:b w:val="0"/>
          <w:bCs w:val="0"/>
          <w:color w:val="auto"/>
          <w:sz w:val="24"/>
          <w:szCs w:val="24"/>
          <w:highlight w:val="none"/>
          <w:lang w:val="en-US" w:eastAsia="zh-CN"/>
        </w:rPr>
        <w:t>测</w:t>
      </w:r>
      <w:r>
        <w:rPr>
          <w:rFonts w:hint="default" w:ascii="Times New Roman" w:hAnsi="Times New Roman" w:eastAsia="宋体" w:cs="Times New Roman"/>
          <w:b w:val="0"/>
          <w:bCs w:val="0"/>
          <w:color w:val="auto"/>
          <w:sz w:val="24"/>
          <w:szCs w:val="24"/>
          <w:highlight w:val="none"/>
        </w:rPr>
        <w:t>。</w:t>
      </w:r>
    </w:p>
    <w:p w14:paraId="0DD4ABD0">
      <w:pPr>
        <w:bidi w:val="0"/>
        <w:rPr>
          <w:rFonts w:hint="default" w:ascii="Times New Roman" w:hAnsi="Times New Roman" w:cs="Times New Roman"/>
          <w:color w:val="auto"/>
        </w:rPr>
      </w:pPr>
      <w:r>
        <w:rPr>
          <w:rFonts w:hint="default" w:ascii="Times New Roman" w:hAnsi="Times New Roman" w:cs="Times New Roman"/>
          <w:color w:val="auto"/>
        </w:rPr>
        <w:t>本工程主要建设内容见表3</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，主要设备见表3</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auto"/>
        </w:rPr>
        <w:t>。</w:t>
      </w:r>
    </w:p>
    <w:p w14:paraId="01363CB1">
      <w:pPr>
        <w:pStyle w:val="21"/>
        <w:bidi w:val="0"/>
        <w:rPr>
          <w:rFonts w:hint="default" w:ascii="Times New Roman" w:hAnsi="Times New Roman" w:cs="Times New Roman"/>
          <w:color w:val="auto"/>
        </w:rPr>
      </w:pPr>
      <w:r>
        <w:rPr>
          <w:rFonts w:hint="default" w:ascii="Times New Roman" w:hAnsi="Times New Roman" w:cs="Times New Roman"/>
          <w:color w:val="auto"/>
        </w:rPr>
        <w:t>表3</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 xml:space="preserve">  项目组成及主要建设内容一览表</w:t>
      </w:r>
    </w:p>
    <w:tbl>
      <w:tblPr>
        <w:tblStyle w:val="20"/>
        <w:tblW w:w="90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51"/>
        <w:gridCol w:w="1030"/>
        <w:gridCol w:w="2599"/>
        <w:gridCol w:w="1958"/>
        <w:gridCol w:w="2533"/>
      </w:tblGrid>
      <w:tr w14:paraId="3E5F06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1" w:type="dxa"/>
            <w:gridSpan w:val="2"/>
            <w:shd w:val="clear" w:color="auto" w:fill="auto"/>
            <w:vAlign w:val="center"/>
          </w:tcPr>
          <w:p w14:paraId="2F129414">
            <w:pPr>
              <w:pStyle w:val="23"/>
              <w:bidi w:val="0"/>
              <w:ind w:firstLine="0" w:firstLineChars="0"/>
              <w:rPr>
                <w:rFonts w:hint="default" w:ascii="Times New Roman" w:hAnsi="Times New Roman" w:cs="Times New Roman"/>
                <w:color w:val="auto"/>
              </w:rPr>
            </w:pPr>
            <w:r>
              <w:rPr>
                <w:rFonts w:hint="default" w:ascii="Times New Roman" w:hAnsi="Times New Roman" w:cs="Times New Roman"/>
                <w:color w:val="auto"/>
              </w:rPr>
              <w:t>工程类别</w:t>
            </w:r>
          </w:p>
        </w:tc>
        <w:tc>
          <w:tcPr>
            <w:tcW w:w="2599" w:type="dxa"/>
            <w:shd w:val="clear" w:color="auto" w:fill="auto"/>
            <w:vAlign w:val="center"/>
          </w:tcPr>
          <w:p w14:paraId="08382C6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项目环评建设内容</w:t>
            </w:r>
          </w:p>
        </w:tc>
        <w:tc>
          <w:tcPr>
            <w:tcW w:w="1958" w:type="dxa"/>
            <w:shd w:val="clear" w:color="auto" w:fill="auto"/>
            <w:vAlign w:val="center"/>
          </w:tcPr>
          <w:p w14:paraId="44460A0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实际建设情况</w:t>
            </w:r>
          </w:p>
        </w:tc>
        <w:tc>
          <w:tcPr>
            <w:tcW w:w="2533" w:type="dxa"/>
            <w:vAlign w:val="center"/>
          </w:tcPr>
          <w:p w14:paraId="33905172">
            <w:pPr>
              <w:pStyle w:val="23"/>
              <w:bidi w:val="0"/>
              <w:rPr>
                <w:rFonts w:hint="default" w:ascii="Times New Roman" w:hAnsi="Times New Roman" w:cs="Times New Roman"/>
                <w:color w:val="auto"/>
              </w:rPr>
            </w:pPr>
            <w:r>
              <w:rPr>
                <w:rFonts w:hint="default" w:ascii="Times New Roman" w:hAnsi="Times New Roman" w:cs="Times New Roman"/>
                <w:color w:val="auto"/>
              </w:rPr>
              <w:t>备注</w:t>
            </w:r>
          </w:p>
        </w:tc>
      </w:tr>
      <w:tr w14:paraId="4FE8CC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06" w:hRule="atLeast"/>
          <w:jc w:val="center"/>
        </w:trPr>
        <w:tc>
          <w:tcPr>
            <w:tcW w:w="1981" w:type="dxa"/>
            <w:gridSpan w:val="2"/>
            <w:vAlign w:val="center"/>
          </w:tcPr>
          <w:p w14:paraId="247E0BAF">
            <w:pPr>
              <w:pStyle w:val="23"/>
              <w:bidi w:val="0"/>
              <w:rPr>
                <w:rFonts w:hint="default" w:ascii="Times New Roman" w:hAnsi="Times New Roman" w:eastAsia="宋体" w:cs="Times New Roman"/>
                <w:color w:val="auto"/>
                <w:lang w:eastAsia="zh-CN"/>
              </w:rPr>
            </w:pPr>
            <w:r>
              <w:rPr>
                <w:rFonts w:hint="default" w:ascii="Times New Roman" w:hAnsi="Times New Roman" w:cs="Times New Roman"/>
                <w:color w:val="auto"/>
              </w:rPr>
              <w:t>主体工程</w:t>
            </w:r>
          </w:p>
        </w:tc>
        <w:tc>
          <w:tcPr>
            <w:tcW w:w="2599" w:type="dxa"/>
            <w:vAlign w:val="center"/>
          </w:tcPr>
          <w:p w14:paraId="4FADDF8A">
            <w:pPr>
              <w:pStyle w:val="23"/>
              <w:bidi w:val="0"/>
              <w:jc w:val="left"/>
              <w:rPr>
                <w:rFonts w:hint="eastAsia" w:ascii="Times New Roman" w:hAnsi="Times New Roman" w:eastAsia="宋体" w:cs="Times New Roman"/>
                <w:color w:val="auto"/>
                <w:lang w:eastAsia="zh-CN"/>
              </w:rPr>
            </w:pPr>
            <w:r>
              <w:rPr>
                <w:rFonts w:hint="default" w:ascii="Times New Roman" w:hAnsi="Times New Roman" w:cs="Times New Roman"/>
                <w:color w:val="auto"/>
              </w:rPr>
              <w:t>对现有两条处理能力50t/d的备用生产线进行改造升级，旧版成型机换为新型吨袋机，并安装相关除尘设备</w:t>
            </w:r>
            <w:r>
              <w:rPr>
                <w:rFonts w:hint="eastAsia" w:cs="Times New Roman"/>
                <w:color w:val="auto"/>
                <w:lang w:eastAsia="zh-CN"/>
              </w:rPr>
              <w:t>；</w:t>
            </w:r>
          </w:p>
          <w:p w14:paraId="177886CA">
            <w:pPr>
              <w:pStyle w:val="23"/>
              <w:bidi w:val="0"/>
              <w:jc w:val="left"/>
              <w:rPr>
                <w:rFonts w:hint="default" w:ascii="Times New Roman" w:hAnsi="Times New Roman" w:cs="Times New Roman"/>
                <w:color w:val="auto"/>
              </w:rPr>
            </w:pPr>
            <w:r>
              <w:rPr>
                <w:rFonts w:hint="default" w:ascii="Times New Roman" w:hAnsi="Times New Roman" w:cs="Times New Roman"/>
                <w:color w:val="auto"/>
              </w:rPr>
              <w:t>1条处理能力为100t/d飞灰稳定化预处理生产线</w:t>
            </w:r>
            <w:r>
              <w:rPr>
                <w:rFonts w:hint="eastAsia" w:cs="Times New Roman"/>
                <w:color w:val="auto"/>
                <w:lang w:eastAsia="zh-CN"/>
              </w:rPr>
              <w:t>，</w:t>
            </w:r>
            <w:r>
              <w:rPr>
                <w:rFonts w:hint="default" w:ascii="Times New Roman" w:hAnsi="Times New Roman" w:cs="Times New Roman"/>
                <w:color w:val="auto"/>
              </w:rPr>
              <w:t>规范改造飞灰预处理区900</w:t>
            </w:r>
            <w:r>
              <w:rPr>
                <w:rFonts w:hint="default" w:ascii="Times New Roman" w:hAnsi="Times New Roman" w:cs="Times New Roman"/>
                <w:color w:val="auto"/>
                <w:lang w:val="en-US" w:eastAsia="zh-CN"/>
              </w:rPr>
              <w:t>㎡</w:t>
            </w:r>
            <w:r>
              <w:rPr>
                <w:rFonts w:hint="default" w:ascii="Times New Roman" w:hAnsi="Times New Roman" w:cs="Times New Roman"/>
                <w:color w:val="auto"/>
              </w:rPr>
              <w:t>；规范改造飞灰固化物储存养护区2160</w:t>
            </w:r>
            <w:r>
              <w:rPr>
                <w:rFonts w:hint="default" w:ascii="Times New Roman" w:hAnsi="Times New Roman" w:cs="Times New Roman"/>
                <w:color w:val="auto"/>
                <w:lang w:val="en-US" w:eastAsia="zh-CN"/>
              </w:rPr>
              <w:t>㎡</w:t>
            </w:r>
            <w:r>
              <w:rPr>
                <w:rFonts w:hint="default" w:ascii="Times New Roman" w:hAnsi="Times New Roman" w:cs="Times New Roman"/>
                <w:color w:val="auto"/>
              </w:rPr>
              <w:t>，设计分为22个区块</w:t>
            </w:r>
          </w:p>
        </w:tc>
        <w:tc>
          <w:tcPr>
            <w:tcW w:w="1958" w:type="dxa"/>
            <w:vAlign w:val="center"/>
          </w:tcPr>
          <w:p w14:paraId="168E9806">
            <w:pPr>
              <w:pStyle w:val="23"/>
              <w:bidi w:val="0"/>
              <w:jc w:val="left"/>
              <w:rPr>
                <w:rFonts w:hint="default" w:ascii="Times New Roman" w:hAnsi="Times New Roman" w:cs="Times New Roman"/>
                <w:color w:val="auto"/>
              </w:rPr>
            </w:pPr>
            <w:r>
              <w:rPr>
                <w:rFonts w:hint="eastAsia" w:ascii="Times New Roman" w:hAnsi="Times New Roman" w:cs="Times New Roman"/>
                <w:color w:val="auto"/>
                <w:lang w:val="en-US" w:eastAsia="zh-CN"/>
              </w:rPr>
              <w:t>建设</w:t>
            </w:r>
            <w:r>
              <w:rPr>
                <w:rFonts w:hint="default" w:ascii="Times New Roman" w:hAnsi="Times New Roman" w:cs="Times New Roman"/>
                <w:color w:val="auto"/>
              </w:rPr>
              <w:t>1条处理能力为100t/d飞灰稳定化预处理生产线</w:t>
            </w:r>
            <w:r>
              <w:rPr>
                <w:rFonts w:hint="eastAsia" w:cs="Times New Roman"/>
                <w:color w:val="auto"/>
                <w:lang w:eastAsia="zh-CN"/>
              </w:rPr>
              <w:t>，</w:t>
            </w:r>
            <w:r>
              <w:rPr>
                <w:rFonts w:hint="default" w:ascii="Times New Roman" w:hAnsi="Times New Roman" w:cs="Times New Roman"/>
                <w:color w:val="auto"/>
              </w:rPr>
              <w:t>规范改造飞灰预处理区900</w:t>
            </w:r>
            <w:r>
              <w:rPr>
                <w:rFonts w:hint="default" w:ascii="Times New Roman" w:hAnsi="Times New Roman" w:cs="Times New Roman"/>
                <w:color w:val="auto"/>
                <w:lang w:val="en-US" w:eastAsia="zh-CN"/>
              </w:rPr>
              <w:t>㎡</w:t>
            </w:r>
            <w:r>
              <w:rPr>
                <w:rFonts w:hint="default" w:ascii="Times New Roman" w:hAnsi="Times New Roman" w:cs="Times New Roman"/>
                <w:color w:val="auto"/>
              </w:rPr>
              <w:t>；飞灰固化物储存养护区2160</w:t>
            </w:r>
            <w:r>
              <w:rPr>
                <w:rFonts w:hint="default" w:ascii="Times New Roman" w:hAnsi="Times New Roman" w:cs="Times New Roman"/>
                <w:color w:val="auto"/>
                <w:lang w:val="en-US" w:eastAsia="zh-CN"/>
              </w:rPr>
              <w:t>㎡</w:t>
            </w:r>
            <w:r>
              <w:rPr>
                <w:rFonts w:hint="default" w:ascii="Times New Roman" w:hAnsi="Times New Roman" w:cs="Times New Roman"/>
                <w:color w:val="auto"/>
              </w:rPr>
              <w:t>，</w:t>
            </w:r>
            <w:r>
              <w:rPr>
                <w:rFonts w:hint="eastAsia" w:cs="Times New Roman"/>
                <w:color w:val="auto"/>
                <w:lang w:val="en-US" w:eastAsia="zh-CN"/>
              </w:rPr>
              <w:t>并</w:t>
            </w:r>
            <w:r>
              <w:rPr>
                <w:rFonts w:hint="default" w:ascii="Times New Roman" w:hAnsi="Times New Roman" w:cs="Times New Roman"/>
                <w:color w:val="auto"/>
                <w:lang w:eastAsia="zh-CN"/>
              </w:rPr>
              <w:t>按</w:t>
            </w:r>
            <w:r>
              <w:rPr>
                <w:rFonts w:hint="default" w:ascii="Times New Roman" w:hAnsi="Times New Roman" w:cs="Times New Roman"/>
                <w:color w:val="auto"/>
              </w:rPr>
              <w:t>设计分为22个区块</w:t>
            </w:r>
          </w:p>
        </w:tc>
        <w:tc>
          <w:tcPr>
            <w:tcW w:w="2533" w:type="dxa"/>
            <w:vAlign w:val="center"/>
          </w:tcPr>
          <w:p w14:paraId="6726375E">
            <w:pPr>
              <w:pStyle w:val="23"/>
              <w:bidi w:val="0"/>
              <w:jc w:val="left"/>
              <w:rPr>
                <w:rFonts w:hint="default" w:ascii="Times New Roman" w:hAnsi="Times New Roman" w:cs="Times New Roman"/>
                <w:color w:val="auto"/>
                <w:lang w:eastAsia="zh-CN"/>
              </w:rPr>
            </w:pPr>
            <w:r>
              <w:rPr>
                <w:rFonts w:hint="default" w:ascii="Times New Roman" w:hAnsi="Times New Roman" w:cs="Times New Roman"/>
                <w:color w:val="auto"/>
                <w:highlight w:val="none"/>
                <w:lang w:val="en-US" w:eastAsia="zh-CN"/>
              </w:rPr>
              <w:t>本次仅验收新增的</w:t>
            </w:r>
            <w:r>
              <w:rPr>
                <w:rFonts w:hint="default" w:ascii="Times New Roman" w:hAnsi="Times New Roman" w:cs="Times New Roman"/>
                <w:color w:val="auto"/>
                <w:highlight w:val="none"/>
              </w:rPr>
              <w:t>1条处理能力为100t/d</w:t>
            </w:r>
            <w:r>
              <w:rPr>
                <w:rFonts w:hint="default" w:ascii="Times New Roman" w:hAnsi="Times New Roman" w:cs="Times New Roman"/>
                <w:color w:val="auto"/>
                <w:highlight w:val="none"/>
                <w:lang w:eastAsia="zh-CN"/>
              </w:rPr>
              <w:t>的</w:t>
            </w:r>
            <w:r>
              <w:rPr>
                <w:rFonts w:hint="default" w:ascii="Times New Roman" w:hAnsi="Times New Roman" w:cs="Times New Roman"/>
                <w:color w:val="auto"/>
                <w:highlight w:val="none"/>
              </w:rPr>
              <w:t>飞灰稳定化预处理生产线</w:t>
            </w:r>
          </w:p>
        </w:tc>
      </w:tr>
      <w:tr w14:paraId="73082A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1" w:type="dxa"/>
            <w:vMerge w:val="restart"/>
            <w:vAlign w:val="center"/>
          </w:tcPr>
          <w:p w14:paraId="29F6BF35">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环保工程</w:t>
            </w:r>
          </w:p>
        </w:tc>
        <w:tc>
          <w:tcPr>
            <w:tcW w:w="1030" w:type="dxa"/>
            <w:vMerge w:val="restart"/>
            <w:vAlign w:val="center"/>
          </w:tcPr>
          <w:p w14:paraId="6CFCA3E2">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rPr>
              <w:t>废气</w:t>
            </w:r>
          </w:p>
        </w:tc>
        <w:tc>
          <w:tcPr>
            <w:tcW w:w="2599" w:type="dxa"/>
            <w:vAlign w:val="center"/>
          </w:tcPr>
          <w:p w14:paraId="533D6906">
            <w:pPr>
              <w:pStyle w:val="23"/>
              <w:bidi w:val="0"/>
              <w:jc w:val="left"/>
              <w:rPr>
                <w:rFonts w:hint="default" w:ascii="Times New Roman" w:hAnsi="Times New Roman" w:eastAsia="宋体" w:cs="Times New Roman"/>
                <w:color w:val="auto"/>
                <w:lang w:eastAsia="zh-CN"/>
              </w:rPr>
            </w:pPr>
            <w:r>
              <w:rPr>
                <w:rFonts w:hint="default" w:ascii="Times New Roman" w:hAnsi="Times New Roman" w:cs="Times New Roman"/>
                <w:color w:val="auto"/>
              </w:rPr>
              <w:t>新建1套飞灰储仓布袋除尘器+1根排气管道连入</w:t>
            </w:r>
            <w:r>
              <w:rPr>
                <w:rFonts w:hint="default" w:ascii="Times New Roman" w:hAnsi="Times New Roman" w:cs="Times New Roman"/>
                <w:color w:val="auto"/>
                <w:lang w:eastAsia="zh-CN"/>
              </w:rPr>
              <w:t>排气筒G1（DA001）</w:t>
            </w:r>
          </w:p>
        </w:tc>
        <w:tc>
          <w:tcPr>
            <w:tcW w:w="1958" w:type="dxa"/>
            <w:vAlign w:val="center"/>
          </w:tcPr>
          <w:p w14:paraId="21E32E9C">
            <w:pPr>
              <w:pStyle w:val="23"/>
              <w:bidi w:val="0"/>
              <w:jc w:val="left"/>
              <w:rPr>
                <w:rFonts w:hint="default" w:ascii="Times New Roman" w:hAnsi="Times New Roman" w:eastAsia="宋体" w:cs="Times New Roman"/>
                <w:color w:val="auto"/>
                <w:lang w:eastAsia="zh-CN"/>
              </w:rPr>
            </w:pPr>
            <w:r>
              <w:rPr>
                <w:rFonts w:hint="default" w:ascii="Times New Roman" w:hAnsi="Times New Roman" w:cs="Times New Roman"/>
                <w:color w:val="auto"/>
              </w:rPr>
              <w:t>飞灰储仓布袋除尘器+1根25m</w:t>
            </w:r>
            <w:r>
              <w:rPr>
                <w:rFonts w:hint="default" w:ascii="Times New Roman" w:hAnsi="Times New Roman" w:cs="Times New Roman"/>
                <w:color w:val="auto"/>
                <w:lang w:eastAsia="zh-CN"/>
              </w:rPr>
              <w:t>排气筒G1（DA001）</w:t>
            </w:r>
          </w:p>
        </w:tc>
        <w:tc>
          <w:tcPr>
            <w:tcW w:w="2533" w:type="dxa"/>
            <w:vAlign w:val="center"/>
          </w:tcPr>
          <w:p w14:paraId="60BB2873">
            <w:pPr>
              <w:pStyle w:val="23"/>
              <w:bidi w:val="0"/>
              <w:jc w:val="left"/>
              <w:rPr>
                <w:rFonts w:hint="default" w:ascii="Times New Roman" w:hAnsi="Times New Roman" w:cs="Times New Roman"/>
                <w:color w:val="auto"/>
              </w:rPr>
            </w:pPr>
            <w:r>
              <w:rPr>
                <w:rFonts w:hint="default" w:ascii="Times New Roman" w:hAnsi="Times New Roman" w:cs="Times New Roman"/>
                <w:color w:val="auto"/>
              </w:rPr>
              <w:t>与环评一致</w:t>
            </w:r>
          </w:p>
        </w:tc>
      </w:tr>
      <w:tr w14:paraId="7ADDE5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1" w:type="dxa"/>
            <w:vMerge w:val="continue"/>
            <w:vAlign w:val="center"/>
          </w:tcPr>
          <w:p w14:paraId="15E49733">
            <w:pPr>
              <w:pStyle w:val="23"/>
              <w:bidi w:val="0"/>
              <w:rPr>
                <w:rFonts w:hint="default" w:ascii="Times New Roman" w:hAnsi="Times New Roman" w:cs="Times New Roman"/>
                <w:color w:val="auto"/>
              </w:rPr>
            </w:pPr>
          </w:p>
        </w:tc>
        <w:tc>
          <w:tcPr>
            <w:tcW w:w="1030" w:type="dxa"/>
            <w:vMerge w:val="continue"/>
            <w:vAlign w:val="center"/>
          </w:tcPr>
          <w:p w14:paraId="50C0D913">
            <w:pPr>
              <w:pStyle w:val="23"/>
              <w:bidi w:val="0"/>
              <w:rPr>
                <w:rFonts w:hint="default" w:ascii="Times New Roman" w:hAnsi="Times New Roman" w:cs="Times New Roman"/>
                <w:color w:val="auto"/>
              </w:rPr>
            </w:pPr>
          </w:p>
        </w:tc>
        <w:tc>
          <w:tcPr>
            <w:tcW w:w="2599" w:type="dxa"/>
            <w:vAlign w:val="center"/>
          </w:tcPr>
          <w:p w14:paraId="418419E4">
            <w:pPr>
              <w:pStyle w:val="23"/>
              <w:bidi w:val="0"/>
              <w:jc w:val="left"/>
              <w:rPr>
                <w:rFonts w:hint="default" w:ascii="Times New Roman" w:hAnsi="Times New Roman" w:cs="Times New Roman"/>
                <w:color w:val="auto"/>
              </w:rPr>
            </w:pPr>
            <w:r>
              <w:rPr>
                <w:rFonts w:hint="default" w:ascii="Times New Roman" w:hAnsi="Times New Roman" w:cs="Times New Roman"/>
                <w:color w:val="auto"/>
              </w:rPr>
              <w:t>新增1套破碎机及配套收尘设备+布袋除尘器+1根排气管道连入</w:t>
            </w:r>
            <w:r>
              <w:rPr>
                <w:rFonts w:hint="default" w:ascii="Times New Roman" w:hAnsi="Times New Roman" w:cs="Times New Roman"/>
                <w:color w:val="auto"/>
                <w:lang w:eastAsia="zh-CN"/>
              </w:rPr>
              <w:t>排气筒G1（DA001）</w:t>
            </w:r>
            <w:r>
              <w:rPr>
                <w:rFonts w:hint="default" w:ascii="Times New Roman" w:hAnsi="Times New Roman" w:cs="Times New Roman"/>
                <w:color w:val="auto"/>
              </w:rPr>
              <w:t>（与飞灰储仓布袋除尘器排气筒为同一根）</w:t>
            </w:r>
          </w:p>
        </w:tc>
        <w:tc>
          <w:tcPr>
            <w:tcW w:w="1958" w:type="dxa"/>
            <w:vAlign w:val="center"/>
          </w:tcPr>
          <w:p w14:paraId="6C13DF18">
            <w:pPr>
              <w:pStyle w:val="23"/>
              <w:bidi w:val="0"/>
              <w:jc w:val="left"/>
              <w:rPr>
                <w:rFonts w:hint="default" w:ascii="Times New Roman" w:hAnsi="Times New Roman" w:cs="Times New Roman"/>
                <w:color w:val="auto"/>
              </w:rPr>
            </w:pPr>
            <w:r>
              <w:rPr>
                <w:rFonts w:hint="default" w:ascii="Times New Roman" w:hAnsi="Times New Roman" w:cs="Times New Roman"/>
                <w:color w:val="auto"/>
              </w:rPr>
              <w:t>1套破碎机及配套收尘设备+布袋除尘器+1根排气管道连入</w:t>
            </w:r>
            <w:r>
              <w:rPr>
                <w:rFonts w:hint="default" w:ascii="Times New Roman" w:hAnsi="Times New Roman" w:cs="Times New Roman"/>
                <w:color w:val="auto"/>
                <w:lang w:eastAsia="zh-CN"/>
              </w:rPr>
              <w:t>排气筒G1（DA001）</w:t>
            </w:r>
            <w:r>
              <w:rPr>
                <w:rFonts w:hint="default" w:ascii="Times New Roman" w:hAnsi="Times New Roman" w:cs="Times New Roman"/>
                <w:color w:val="auto"/>
              </w:rPr>
              <w:t>（与飞灰储仓布袋除尘器排气筒为同一根）</w:t>
            </w:r>
          </w:p>
        </w:tc>
        <w:tc>
          <w:tcPr>
            <w:tcW w:w="2533" w:type="dxa"/>
            <w:vAlign w:val="center"/>
          </w:tcPr>
          <w:p w14:paraId="0610964F">
            <w:pPr>
              <w:pStyle w:val="23"/>
              <w:bidi w:val="0"/>
              <w:jc w:val="left"/>
              <w:rPr>
                <w:rFonts w:hint="default" w:ascii="Times New Roman" w:hAnsi="Times New Roman" w:cs="Times New Roman"/>
                <w:color w:val="auto"/>
              </w:rPr>
            </w:pPr>
            <w:r>
              <w:rPr>
                <w:rFonts w:hint="default" w:ascii="Times New Roman" w:hAnsi="Times New Roman" w:cs="Times New Roman"/>
                <w:color w:val="auto"/>
              </w:rPr>
              <w:t>与环评一致</w:t>
            </w:r>
          </w:p>
        </w:tc>
      </w:tr>
      <w:tr w14:paraId="6024FF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1" w:type="dxa"/>
            <w:vMerge w:val="continue"/>
            <w:vAlign w:val="center"/>
          </w:tcPr>
          <w:p w14:paraId="6BD7F3B1">
            <w:pPr>
              <w:pStyle w:val="23"/>
              <w:bidi w:val="0"/>
              <w:rPr>
                <w:rFonts w:hint="default" w:ascii="Times New Roman" w:hAnsi="Times New Roman" w:cs="Times New Roman"/>
                <w:color w:val="auto"/>
              </w:rPr>
            </w:pPr>
          </w:p>
        </w:tc>
        <w:tc>
          <w:tcPr>
            <w:tcW w:w="1030" w:type="dxa"/>
            <w:vAlign w:val="center"/>
          </w:tcPr>
          <w:p w14:paraId="152FCC69">
            <w:pPr>
              <w:pStyle w:val="23"/>
              <w:bidi w:val="0"/>
              <w:jc w:val="left"/>
              <w:rPr>
                <w:rFonts w:hint="default" w:ascii="Times New Roman" w:hAnsi="Times New Roman" w:cs="Times New Roman"/>
                <w:color w:val="auto"/>
              </w:rPr>
            </w:pPr>
            <w:r>
              <w:rPr>
                <w:rFonts w:hint="default" w:ascii="Times New Roman" w:hAnsi="Times New Roman" w:cs="Times New Roman"/>
                <w:color w:val="auto"/>
              </w:rPr>
              <w:t>事故应急池</w:t>
            </w:r>
            <w:r>
              <w:rPr>
                <w:rFonts w:hint="default" w:ascii="Times New Roman" w:hAnsi="Times New Roman" w:cs="Times New Roman"/>
                <w:color w:val="auto"/>
                <w:lang w:eastAsia="zh-CN"/>
              </w:rPr>
              <w:t>和初期雨水收集池</w:t>
            </w:r>
          </w:p>
        </w:tc>
        <w:tc>
          <w:tcPr>
            <w:tcW w:w="2599" w:type="dxa"/>
            <w:vAlign w:val="center"/>
          </w:tcPr>
          <w:p w14:paraId="33B78527">
            <w:pPr>
              <w:pStyle w:val="23"/>
              <w:bidi w:val="0"/>
              <w:jc w:val="left"/>
              <w:rPr>
                <w:rFonts w:hint="default" w:ascii="Times New Roman" w:hAnsi="Times New Roman" w:cs="Times New Roman"/>
                <w:color w:val="auto"/>
              </w:rPr>
            </w:pPr>
            <w:r>
              <w:rPr>
                <w:rFonts w:hint="default" w:ascii="Times New Roman" w:hAnsi="Times New Roman" w:cs="Times New Roman"/>
                <w:color w:val="auto"/>
              </w:rPr>
              <w:t>应新建</w:t>
            </w:r>
            <w:r>
              <w:rPr>
                <w:rFonts w:hint="default" w:ascii="Times New Roman" w:hAnsi="Times New Roman" w:cs="Times New Roman"/>
                <w:color w:val="auto"/>
                <w:lang w:val="en-US" w:eastAsia="zh-CN"/>
              </w:rPr>
              <w:t>277m³</w:t>
            </w:r>
            <w:r>
              <w:rPr>
                <w:rFonts w:hint="default" w:ascii="Times New Roman" w:hAnsi="Times New Roman" w:cs="Times New Roman"/>
                <w:color w:val="auto"/>
              </w:rPr>
              <w:t>事故应急池</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新建230m³初期雨水收集池</w:t>
            </w:r>
          </w:p>
        </w:tc>
        <w:tc>
          <w:tcPr>
            <w:tcW w:w="1958" w:type="dxa"/>
            <w:vAlign w:val="center"/>
          </w:tcPr>
          <w:p w14:paraId="47CE6DA2">
            <w:pPr>
              <w:pStyle w:val="23"/>
              <w:bidi w:val="0"/>
              <w:jc w:val="left"/>
              <w:rPr>
                <w:rFonts w:hint="default" w:ascii="Times New Roman" w:hAnsi="Times New Roman" w:cs="Times New Roman"/>
                <w:color w:val="auto"/>
                <w:lang w:val="en-US"/>
              </w:rPr>
            </w:pPr>
            <w:r>
              <w:rPr>
                <w:rFonts w:hint="default" w:ascii="Times New Roman" w:hAnsi="Times New Roman" w:cs="Times New Roman"/>
                <w:color w:val="auto"/>
                <w:lang w:val="en-US" w:eastAsia="zh-CN"/>
              </w:rPr>
              <w:t>本项目建设一个100m³的事故应急池（地面水箱）</w:t>
            </w:r>
          </w:p>
        </w:tc>
        <w:tc>
          <w:tcPr>
            <w:tcW w:w="2533" w:type="dxa"/>
            <w:vAlign w:val="center"/>
          </w:tcPr>
          <w:p w14:paraId="6791AB93">
            <w:pPr>
              <w:pStyle w:val="23"/>
              <w:bidi w:val="0"/>
              <w:jc w:val="left"/>
              <w:rPr>
                <w:rFonts w:hint="default" w:ascii="Times New Roman" w:hAnsi="Times New Roman" w:eastAsia="宋体" w:cs="Times New Roman"/>
                <w:color w:val="auto"/>
                <w:lang w:val="en-US" w:eastAsia="zh-CN"/>
              </w:rPr>
            </w:pPr>
            <w:r>
              <w:rPr>
                <w:rFonts w:hint="eastAsia"/>
                <w:color w:val="auto"/>
                <w:lang w:val="en-US" w:eastAsia="zh-CN"/>
              </w:rPr>
              <w:t>根据4.2.1节</w:t>
            </w:r>
            <w:r>
              <w:rPr>
                <w:rFonts w:hint="eastAsia" w:ascii="Times New Roman" w:hAnsi="Times New Roman" w:eastAsia="宋体" w:cs="Times New Roman"/>
                <w:color w:val="auto"/>
                <w:lang w:val="en-US" w:eastAsia="zh-CN"/>
              </w:rPr>
              <w:t>环境风险防范措施计算可知，项目事故废水量为174.34m³，本项目事故废水池容积为220m³</w:t>
            </w:r>
            <w:r>
              <w:rPr>
                <w:rFonts w:hint="eastAsia" w:ascii="Times New Roman" w:hAnsi="Times New Roman" w:cs="Times New Roman"/>
                <w:color w:val="auto"/>
                <w:lang w:val="en-US" w:eastAsia="zh-CN"/>
              </w:rPr>
              <w:t>，可以满足事故废水收集</w:t>
            </w:r>
            <w:r>
              <w:rPr>
                <w:rFonts w:hint="eastAsia" w:cs="Times New Roman"/>
                <w:color w:val="auto"/>
                <w:lang w:val="en-US" w:eastAsia="zh-CN"/>
              </w:rPr>
              <w:t>，且根据《生活垃圾焚烧飞灰固化稳定化处理技术标准》（CJJ/T316-2023），无需设置初期雨水池，详见表4.3-3</w:t>
            </w:r>
          </w:p>
        </w:tc>
      </w:tr>
    </w:tbl>
    <w:p w14:paraId="00651DF7">
      <w:pPr>
        <w:pStyle w:val="21"/>
        <w:bidi w:val="0"/>
        <w:rPr>
          <w:rFonts w:hint="default" w:ascii="Times New Roman" w:hAnsi="Times New Roman" w:cs="Times New Roman"/>
          <w:color w:val="auto"/>
        </w:rPr>
      </w:pPr>
      <w:r>
        <w:rPr>
          <w:rFonts w:hint="default" w:ascii="Times New Roman" w:hAnsi="Times New Roman" w:cs="Times New Roman"/>
          <w:color w:val="auto"/>
        </w:rPr>
        <w:t>表3</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本项主要设备一览表</w:t>
      </w:r>
    </w:p>
    <w:tbl>
      <w:tblPr>
        <w:tblStyle w:val="20"/>
        <w:tblW w:w="9071" w:type="dxa"/>
        <w:jc w:val="center"/>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8"/>
        <w:gridCol w:w="1698"/>
        <w:gridCol w:w="1189"/>
        <w:gridCol w:w="667"/>
        <w:gridCol w:w="1927"/>
        <w:gridCol w:w="1039"/>
        <w:gridCol w:w="570"/>
        <w:gridCol w:w="1653"/>
      </w:tblGrid>
      <w:tr w14:paraId="6EF9B96B">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vMerge w:val="restart"/>
            <w:tcBorders>
              <w:left w:val="nil"/>
              <w:bottom w:val="nil"/>
            </w:tcBorders>
            <w:vAlign w:val="center"/>
          </w:tcPr>
          <w:p w14:paraId="53CB57F6">
            <w:pPr>
              <w:pStyle w:val="23"/>
              <w:bidi w:val="0"/>
              <w:rPr>
                <w:rFonts w:hint="default" w:ascii="Times New Roman" w:hAnsi="Times New Roman" w:cs="Times New Roman"/>
                <w:color w:val="auto"/>
              </w:rPr>
            </w:pPr>
            <w:r>
              <w:rPr>
                <w:rFonts w:hint="default" w:ascii="Times New Roman" w:hAnsi="Times New Roman" w:cs="Times New Roman"/>
                <w:color w:val="auto"/>
              </w:rPr>
              <w:t>序号</w:t>
            </w:r>
          </w:p>
        </w:tc>
        <w:tc>
          <w:tcPr>
            <w:tcW w:w="3554" w:type="dxa"/>
            <w:gridSpan w:val="3"/>
            <w:vAlign w:val="center"/>
          </w:tcPr>
          <w:p w14:paraId="20532CC5">
            <w:pPr>
              <w:pStyle w:val="23"/>
              <w:bidi w:val="0"/>
              <w:rPr>
                <w:rFonts w:hint="default" w:ascii="Times New Roman" w:hAnsi="Times New Roman" w:cs="Times New Roman"/>
                <w:color w:val="auto"/>
              </w:rPr>
            </w:pPr>
            <w:r>
              <w:rPr>
                <w:rFonts w:hint="default" w:ascii="Times New Roman" w:hAnsi="Times New Roman" w:cs="Times New Roman"/>
                <w:color w:val="auto"/>
              </w:rPr>
              <w:t>环评报告及批复建设内容</w:t>
            </w:r>
          </w:p>
        </w:tc>
        <w:tc>
          <w:tcPr>
            <w:tcW w:w="3536" w:type="dxa"/>
            <w:gridSpan w:val="3"/>
            <w:vAlign w:val="center"/>
          </w:tcPr>
          <w:p w14:paraId="7043E6ED">
            <w:pPr>
              <w:pStyle w:val="23"/>
              <w:bidi w:val="0"/>
              <w:rPr>
                <w:rFonts w:hint="default" w:ascii="Times New Roman" w:hAnsi="Times New Roman" w:cs="Times New Roman"/>
                <w:color w:val="auto"/>
              </w:rPr>
            </w:pPr>
            <w:r>
              <w:rPr>
                <w:rFonts w:hint="default" w:ascii="Times New Roman" w:hAnsi="Times New Roman" w:cs="Times New Roman"/>
                <w:color w:val="auto"/>
              </w:rPr>
              <w:t>实际报告及批复建设内容</w:t>
            </w:r>
          </w:p>
        </w:tc>
        <w:tc>
          <w:tcPr>
            <w:tcW w:w="1653" w:type="dxa"/>
            <w:vMerge w:val="restart"/>
            <w:tcBorders>
              <w:bottom w:val="nil"/>
              <w:right w:val="nil"/>
            </w:tcBorders>
            <w:vAlign w:val="center"/>
          </w:tcPr>
          <w:p w14:paraId="326C3913">
            <w:pPr>
              <w:pStyle w:val="23"/>
              <w:bidi w:val="0"/>
              <w:rPr>
                <w:rFonts w:hint="default" w:ascii="Times New Roman" w:hAnsi="Times New Roman" w:cs="Times New Roman"/>
                <w:color w:val="auto"/>
              </w:rPr>
            </w:pPr>
            <w:r>
              <w:rPr>
                <w:rFonts w:hint="default" w:ascii="Times New Roman" w:hAnsi="Times New Roman" w:cs="Times New Roman"/>
                <w:color w:val="auto"/>
              </w:rPr>
              <w:t>备注</w:t>
            </w:r>
          </w:p>
        </w:tc>
      </w:tr>
      <w:tr w14:paraId="4B62F00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vMerge w:val="continue"/>
            <w:tcBorders>
              <w:top w:val="nil"/>
              <w:left w:val="nil"/>
            </w:tcBorders>
            <w:textDirection w:val="tbRlV"/>
            <w:vAlign w:val="center"/>
          </w:tcPr>
          <w:p w14:paraId="5C009B19">
            <w:pPr>
              <w:pStyle w:val="23"/>
              <w:bidi w:val="0"/>
              <w:rPr>
                <w:rFonts w:hint="default" w:ascii="Times New Roman" w:hAnsi="Times New Roman" w:cs="Times New Roman"/>
                <w:color w:val="auto"/>
              </w:rPr>
            </w:pPr>
          </w:p>
        </w:tc>
        <w:tc>
          <w:tcPr>
            <w:tcW w:w="1698" w:type="dxa"/>
            <w:vAlign w:val="center"/>
          </w:tcPr>
          <w:p w14:paraId="373C2B39">
            <w:pPr>
              <w:pStyle w:val="23"/>
              <w:bidi w:val="0"/>
              <w:rPr>
                <w:rFonts w:hint="default" w:ascii="Times New Roman" w:hAnsi="Times New Roman" w:cs="Times New Roman"/>
                <w:color w:val="auto"/>
              </w:rPr>
            </w:pPr>
            <w:r>
              <w:rPr>
                <w:rFonts w:hint="default" w:ascii="Times New Roman" w:hAnsi="Times New Roman" w:cs="Times New Roman"/>
                <w:color w:val="auto"/>
              </w:rPr>
              <w:t>设备名称</w:t>
            </w:r>
          </w:p>
        </w:tc>
        <w:tc>
          <w:tcPr>
            <w:tcW w:w="1189" w:type="dxa"/>
            <w:vAlign w:val="center"/>
          </w:tcPr>
          <w:p w14:paraId="4A4D5B0C">
            <w:pPr>
              <w:pStyle w:val="23"/>
              <w:bidi w:val="0"/>
              <w:rPr>
                <w:rFonts w:hint="default" w:ascii="Times New Roman" w:hAnsi="Times New Roman" w:cs="Times New Roman"/>
                <w:color w:val="auto"/>
              </w:rPr>
            </w:pPr>
            <w:r>
              <w:rPr>
                <w:rFonts w:hint="default" w:ascii="Times New Roman" w:hAnsi="Times New Roman" w:cs="Times New Roman"/>
                <w:color w:val="auto"/>
              </w:rPr>
              <w:t>规格型号</w:t>
            </w:r>
          </w:p>
        </w:tc>
        <w:tc>
          <w:tcPr>
            <w:tcW w:w="667" w:type="dxa"/>
            <w:vAlign w:val="center"/>
          </w:tcPr>
          <w:p w14:paraId="44380508">
            <w:pPr>
              <w:pStyle w:val="23"/>
              <w:bidi w:val="0"/>
              <w:rPr>
                <w:rFonts w:hint="default" w:ascii="Times New Roman" w:hAnsi="Times New Roman" w:cs="Times New Roman"/>
                <w:color w:val="auto"/>
              </w:rPr>
            </w:pPr>
            <w:r>
              <w:rPr>
                <w:rFonts w:hint="default" w:ascii="Times New Roman" w:hAnsi="Times New Roman" w:cs="Times New Roman"/>
                <w:color w:val="auto"/>
              </w:rPr>
              <w:t>数量(台/套)</w:t>
            </w:r>
          </w:p>
        </w:tc>
        <w:tc>
          <w:tcPr>
            <w:tcW w:w="1927" w:type="dxa"/>
            <w:vAlign w:val="center"/>
          </w:tcPr>
          <w:p w14:paraId="25E01DF4">
            <w:pPr>
              <w:pStyle w:val="23"/>
              <w:bidi w:val="0"/>
              <w:rPr>
                <w:rFonts w:hint="default" w:ascii="Times New Roman" w:hAnsi="Times New Roman" w:cs="Times New Roman"/>
                <w:color w:val="auto"/>
              </w:rPr>
            </w:pPr>
            <w:r>
              <w:rPr>
                <w:rFonts w:hint="default" w:ascii="Times New Roman" w:hAnsi="Times New Roman" w:cs="Times New Roman"/>
                <w:color w:val="auto"/>
              </w:rPr>
              <w:t>设备名称</w:t>
            </w:r>
          </w:p>
        </w:tc>
        <w:tc>
          <w:tcPr>
            <w:tcW w:w="1039" w:type="dxa"/>
            <w:vAlign w:val="center"/>
          </w:tcPr>
          <w:p w14:paraId="6B6C9DCB">
            <w:pPr>
              <w:pStyle w:val="23"/>
              <w:bidi w:val="0"/>
              <w:rPr>
                <w:rFonts w:hint="default" w:ascii="Times New Roman" w:hAnsi="Times New Roman" w:cs="Times New Roman"/>
                <w:color w:val="auto"/>
              </w:rPr>
            </w:pPr>
            <w:r>
              <w:rPr>
                <w:rFonts w:hint="default" w:ascii="Times New Roman" w:hAnsi="Times New Roman" w:cs="Times New Roman"/>
                <w:color w:val="auto"/>
              </w:rPr>
              <w:t>规格型号</w:t>
            </w:r>
          </w:p>
        </w:tc>
        <w:tc>
          <w:tcPr>
            <w:tcW w:w="570" w:type="dxa"/>
            <w:vAlign w:val="center"/>
          </w:tcPr>
          <w:p w14:paraId="1B6F42F0">
            <w:pPr>
              <w:pStyle w:val="23"/>
              <w:bidi w:val="0"/>
              <w:rPr>
                <w:rFonts w:hint="default" w:ascii="Times New Roman" w:hAnsi="Times New Roman" w:cs="Times New Roman"/>
                <w:color w:val="auto"/>
              </w:rPr>
            </w:pPr>
            <w:r>
              <w:rPr>
                <w:rFonts w:hint="default" w:ascii="Times New Roman" w:hAnsi="Times New Roman" w:cs="Times New Roman"/>
                <w:color w:val="auto"/>
              </w:rPr>
              <w:t>数量(台/套)</w:t>
            </w:r>
          </w:p>
        </w:tc>
        <w:tc>
          <w:tcPr>
            <w:tcW w:w="1653" w:type="dxa"/>
            <w:vMerge w:val="continue"/>
            <w:tcBorders>
              <w:top w:val="nil"/>
              <w:right w:val="nil"/>
            </w:tcBorders>
            <w:vAlign w:val="center"/>
          </w:tcPr>
          <w:p w14:paraId="32575D43">
            <w:pPr>
              <w:pStyle w:val="23"/>
              <w:bidi w:val="0"/>
              <w:rPr>
                <w:rFonts w:hint="default" w:ascii="Times New Roman" w:hAnsi="Times New Roman" w:cs="Times New Roman"/>
                <w:color w:val="auto"/>
              </w:rPr>
            </w:pPr>
          </w:p>
        </w:tc>
      </w:tr>
      <w:tr w14:paraId="5ACF743B">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PrEx>
        <w:trPr>
          <w:trHeight w:val="340" w:hRule="atLeast"/>
          <w:tblHeader/>
          <w:jc w:val="center"/>
        </w:trPr>
        <w:tc>
          <w:tcPr>
            <w:tcW w:w="328" w:type="dxa"/>
            <w:tcBorders>
              <w:left w:val="nil"/>
            </w:tcBorders>
            <w:vAlign w:val="center"/>
          </w:tcPr>
          <w:p w14:paraId="56571C11">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98" w:type="dxa"/>
            <w:vAlign w:val="center"/>
          </w:tcPr>
          <w:p w14:paraId="5E14B514">
            <w:pPr>
              <w:pStyle w:val="23"/>
              <w:bidi w:val="0"/>
              <w:rPr>
                <w:rFonts w:hint="default" w:ascii="Times New Roman" w:hAnsi="Times New Roman" w:cs="Times New Roman"/>
                <w:color w:val="auto"/>
              </w:rPr>
            </w:pPr>
            <w:r>
              <w:rPr>
                <w:rFonts w:hint="default" w:ascii="Times New Roman" w:hAnsi="Times New Roman" w:cs="Times New Roman"/>
                <w:color w:val="auto"/>
              </w:rPr>
              <w:t>飞灰储仓</w:t>
            </w:r>
          </w:p>
        </w:tc>
        <w:tc>
          <w:tcPr>
            <w:tcW w:w="1189" w:type="dxa"/>
            <w:vAlign w:val="center"/>
          </w:tcPr>
          <w:p w14:paraId="77E380EC">
            <w:pPr>
              <w:pStyle w:val="23"/>
              <w:bidi w:val="0"/>
              <w:rPr>
                <w:rFonts w:hint="default" w:ascii="Times New Roman" w:hAnsi="Times New Roman" w:cs="Times New Roman"/>
                <w:color w:val="auto"/>
                <w:lang w:eastAsia="zh-CN"/>
              </w:rPr>
            </w:pPr>
            <w:r>
              <w:rPr>
                <w:rFonts w:hint="default" w:ascii="Times New Roman" w:hAnsi="Times New Roman" w:cs="Times New Roman"/>
                <w:color w:val="auto"/>
              </w:rPr>
              <w:t>300</w:t>
            </w:r>
            <w:r>
              <w:rPr>
                <w:rFonts w:hint="default" w:ascii="Times New Roman" w:hAnsi="Times New Roman" w:cs="Times New Roman"/>
                <w:color w:val="auto"/>
                <w:lang w:val="en-US" w:eastAsia="zh-CN"/>
              </w:rPr>
              <w:t>m³</w:t>
            </w:r>
          </w:p>
        </w:tc>
        <w:tc>
          <w:tcPr>
            <w:tcW w:w="667" w:type="dxa"/>
            <w:vAlign w:val="center"/>
          </w:tcPr>
          <w:p w14:paraId="67AAD0C1">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0E8FC316">
            <w:pPr>
              <w:pStyle w:val="23"/>
              <w:bidi w:val="0"/>
              <w:rPr>
                <w:rFonts w:hint="default" w:ascii="Times New Roman" w:hAnsi="Times New Roman" w:cs="Times New Roman"/>
                <w:color w:val="auto"/>
              </w:rPr>
            </w:pPr>
            <w:r>
              <w:rPr>
                <w:rFonts w:hint="default" w:ascii="Times New Roman" w:hAnsi="Times New Roman" w:cs="Times New Roman"/>
                <w:color w:val="auto"/>
              </w:rPr>
              <w:t>飞灰储仓</w:t>
            </w:r>
          </w:p>
        </w:tc>
        <w:tc>
          <w:tcPr>
            <w:tcW w:w="1039" w:type="dxa"/>
            <w:vAlign w:val="center"/>
          </w:tcPr>
          <w:p w14:paraId="4D98604D">
            <w:pPr>
              <w:pStyle w:val="23"/>
              <w:bidi w:val="0"/>
              <w:rPr>
                <w:rFonts w:hint="default" w:ascii="Times New Roman" w:hAnsi="Times New Roman" w:cs="Times New Roman"/>
                <w:color w:val="auto"/>
                <w:lang w:eastAsia="zh-CN"/>
              </w:rPr>
            </w:pPr>
            <w:r>
              <w:rPr>
                <w:rFonts w:hint="default" w:ascii="Times New Roman" w:hAnsi="Times New Roman" w:cs="Times New Roman"/>
                <w:color w:val="auto"/>
              </w:rPr>
              <w:t>300</w:t>
            </w:r>
            <w:r>
              <w:rPr>
                <w:rFonts w:hint="default" w:ascii="Times New Roman" w:hAnsi="Times New Roman" w:cs="Times New Roman"/>
                <w:color w:val="auto"/>
                <w:lang w:val="en-US" w:eastAsia="zh-CN"/>
              </w:rPr>
              <w:t>m³</w:t>
            </w:r>
          </w:p>
        </w:tc>
        <w:tc>
          <w:tcPr>
            <w:tcW w:w="570" w:type="dxa"/>
            <w:vAlign w:val="center"/>
          </w:tcPr>
          <w:p w14:paraId="6C5E689F">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5AD71272">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0F67564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1A01886">
            <w:pPr>
              <w:pStyle w:val="23"/>
              <w:bidi w:val="0"/>
              <w:rPr>
                <w:rFonts w:hint="default" w:ascii="Times New Roman" w:hAnsi="Times New Roman" w:cs="Times New Roman"/>
                <w:color w:val="auto"/>
              </w:rPr>
            </w:pPr>
            <w:r>
              <w:rPr>
                <w:rFonts w:hint="default" w:ascii="Times New Roman" w:hAnsi="Times New Roman" w:cs="Times New Roman"/>
                <w:color w:val="auto"/>
              </w:rPr>
              <w:t>2</w:t>
            </w:r>
          </w:p>
        </w:tc>
        <w:tc>
          <w:tcPr>
            <w:tcW w:w="1698" w:type="dxa"/>
            <w:vAlign w:val="center"/>
          </w:tcPr>
          <w:p w14:paraId="579927FE">
            <w:pPr>
              <w:pStyle w:val="23"/>
              <w:bidi w:val="0"/>
              <w:rPr>
                <w:rFonts w:hint="default" w:ascii="Times New Roman" w:hAnsi="Times New Roman" w:cs="Times New Roman"/>
                <w:color w:val="auto"/>
              </w:rPr>
            </w:pPr>
            <w:r>
              <w:rPr>
                <w:rFonts w:hint="default" w:ascii="Times New Roman" w:hAnsi="Times New Roman" w:cs="Times New Roman"/>
                <w:color w:val="auto"/>
              </w:rPr>
              <w:t>上料管手阀</w:t>
            </w:r>
          </w:p>
        </w:tc>
        <w:tc>
          <w:tcPr>
            <w:tcW w:w="1189" w:type="dxa"/>
            <w:vAlign w:val="center"/>
          </w:tcPr>
          <w:p w14:paraId="7A19F077">
            <w:pPr>
              <w:pStyle w:val="23"/>
              <w:bidi w:val="0"/>
              <w:rPr>
                <w:rFonts w:hint="default" w:ascii="Times New Roman" w:hAnsi="Times New Roman" w:cs="Times New Roman"/>
                <w:color w:val="auto"/>
              </w:rPr>
            </w:pPr>
            <w:r>
              <w:rPr>
                <w:rFonts w:hint="default" w:ascii="Times New Roman" w:hAnsi="Times New Roman" w:cs="Times New Roman"/>
                <w:color w:val="auto"/>
              </w:rPr>
              <w:t>DN120</w:t>
            </w:r>
          </w:p>
        </w:tc>
        <w:tc>
          <w:tcPr>
            <w:tcW w:w="667" w:type="dxa"/>
            <w:vAlign w:val="center"/>
          </w:tcPr>
          <w:p w14:paraId="5AB28970">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05C37ECD">
            <w:pPr>
              <w:pStyle w:val="23"/>
              <w:bidi w:val="0"/>
              <w:rPr>
                <w:rFonts w:hint="default" w:ascii="Times New Roman" w:hAnsi="Times New Roman" w:cs="Times New Roman"/>
                <w:color w:val="auto"/>
              </w:rPr>
            </w:pPr>
            <w:r>
              <w:rPr>
                <w:rFonts w:hint="default" w:ascii="Times New Roman" w:hAnsi="Times New Roman" w:cs="Times New Roman"/>
                <w:color w:val="auto"/>
              </w:rPr>
              <w:t>上料管手阀</w:t>
            </w:r>
          </w:p>
        </w:tc>
        <w:tc>
          <w:tcPr>
            <w:tcW w:w="1039" w:type="dxa"/>
            <w:vAlign w:val="center"/>
          </w:tcPr>
          <w:p w14:paraId="3234D648">
            <w:pPr>
              <w:pStyle w:val="23"/>
              <w:bidi w:val="0"/>
              <w:rPr>
                <w:rFonts w:hint="default" w:ascii="Times New Roman" w:hAnsi="Times New Roman" w:cs="Times New Roman"/>
                <w:color w:val="auto"/>
              </w:rPr>
            </w:pPr>
            <w:r>
              <w:rPr>
                <w:rFonts w:hint="default" w:ascii="Times New Roman" w:hAnsi="Times New Roman" w:cs="Times New Roman"/>
                <w:color w:val="auto"/>
              </w:rPr>
              <w:t>DN120</w:t>
            </w:r>
          </w:p>
        </w:tc>
        <w:tc>
          <w:tcPr>
            <w:tcW w:w="570" w:type="dxa"/>
            <w:vAlign w:val="center"/>
          </w:tcPr>
          <w:p w14:paraId="57E59817">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068F84B5">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D691AFA">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432F44AB">
            <w:pPr>
              <w:pStyle w:val="23"/>
              <w:bidi w:val="0"/>
              <w:rPr>
                <w:rFonts w:hint="default" w:ascii="Times New Roman" w:hAnsi="Times New Roman" w:cs="Times New Roman"/>
                <w:color w:val="auto"/>
              </w:rPr>
            </w:pPr>
            <w:r>
              <w:rPr>
                <w:rFonts w:hint="default" w:ascii="Times New Roman" w:hAnsi="Times New Roman" w:cs="Times New Roman"/>
                <w:color w:val="auto"/>
              </w:rPr>
              <w:t>3</w:t>
            </w:r>
          </w:p>
        </w:tc>
        <w:tc>
          <w:tcPr>
            <w:tcW w:w="1698" w:type="dxa"/>
            <w:vAlign w:val="center"/>
          </w:tcPr>
          <w:p w14:paraId="0ACAD007">
            <w:pPr>
              <w:pStyle w:val="23"/>
              <w:bidi w:val="0"/>
              <w:rPr>
                <w:rFonts w:hint="default" w:ascii="Times New Roman" w:hAnsi="Times New Roman" w:cs="Times New Roman"/>
                <w:color w:val="auto"/>
              </w:rPr>
            </w:pPr>
            <w:r>
              <w:rPr>
                <w:rFonts w:hint="default" w:ascii="Times New Roman" w:hAnsi="Times New Roman" w:cs="Times New Roman"/>
                <w:color w:val="auto"/>
              </w:rPr>
              <w:t>飞灰仓仓顶脉冲除尘器</w:t>
            </w:r>
          </w:p>
        </w:tc>
        <w:tc>
          <w:tcPr>
            <w:tcW w:w="1189" w:type="dxa"/>
            <w:vAlign w:val="center"/>
          </w:tcPr>
          <w:p w14:paraId="24450A9B">
            <w:pPr>
              <w:pStyle w:val="23"/>
              <w:bidi w:val="0"/>
              <w:rPr>
                <w:rFonts w:hint="default" w:ascii="Times New Roman" w:hAnsi="Times New Roman" w:cs="Times New Roman"/>
                <w:color w:val="auto"/>
              </w:rPr>
            </w:pPr>
            <w:r>
              <w:rPr>
                <w:rFonts w:hint="default" w:ascii="Times New Roman" w:hAnsi="Times New Roman" w:cs="Times New Roman"/>
                <w:color w:val="auto"/>
              </w:rPr>
              <w:t>DMC36</w:t>
            </w:r>
          </w:p>
        </w:tc>
        <w:tc>
          <w:tcPr>
            <w:tcW w:w="667" w:type="dxa"/>
            <w:vAlign w:val="center"/>
          </w:tcPr>
          <w:p w14:paraId="024D9535">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6FAB9C68">
            <w:pPr>
              <w:pStyle w:val="23"/>
              <w:bidi w:val="0"/>
              <w:rPr>
                <w:rFonts w:hint="default" w:ascii="Times New Roman" w:hAnsi="Times New Roman" w:cs="Times New Roman"/>
                <w:color w:val="auto"/>
              </w:rPr>
            </w:pPr>
            <w:r>
              <w:rPr>
                <w:rFonts w:hint="default" w:ascii="Times New Roman" w:hAnsi="Times New Roman" w:cs="Times New Roman"/>
                <w:color w:val="auto"/>
              </w:rPr>
              <w:t>飞灰仓仓顶脉冲除尘器</w:t>
            </w:r>
          </w:p>
        </w:tc>
        <w:tc>
          <w:tcPr>
            <w:tcW w:w="1039" w:type="dxa"/>
            <w:vAlign w:val="center"/>
          </w:tcPr>
          <w:p w14:paraId="28A8D5D8">
            <w:pPr>
              <w:pStyle w:val="23"/>
              <w:bidi w:val="0"/>
              <w:rPr>
                <w:rFonts w:hint="default" w:ascii="Times New Roman" w:hAnsi="Times New Roman" w:cs="Times New Roman"/>
                <w:color w:val="auto"/>
              </w:rPr>
            </w:pPr>
            <w:r>
              <w:rPr>
                <w:rFonts w:hint="default" w:ascii="Times New Roman" w:hAnsi="Times New Roman" w:cs="Times New Roman"/>
                <w:color w:val="auto"/>
              </w:rPr>
              <w:t>DMC36</w:t>
            </w:r>
          </w:p>
        </w:tc>
        <w:tc>
          <w:tcPr>
            <w:tcW w:w="570" w:type="dxa"/>
            <w:vAlign w:val="center"/>
          </w:tcPr>
          <w:p w14:paraId="6924FDEC">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3E2F51D0">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4F3CEA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1B8E6C45">
            <w:pPr>
              <w:pStyle w:val="23"/>
              <w:bidi w:val="0"/>
              <w:rPr>
                <w:rFonts w:hint="default" w:ascii="Times New Roman" w:hAnsi="Times New Roman" w:cs="Times New Roman"/>
                <w:color w:val="auto"/>
              </w:rPr>
            </w:pPr>
            <w:r>
              <w:rPr>
                <w:rFonts w:hint="default" w:ascii="Times New Roman" w:hAnsi="Times New Roman" w:cs="Times New Roman"/>
                <w:color w:val="auto"/>
              </w:rPr>
              <w:t>4</w:t>
            </w:r>
          </w:p>
        </w:tc>
        <w:tc>
          <w:tcPr>
            <w:tcW w:w="1698" w:type="dxa"/>
            <w:vAlign w:val="center"/>
          </w:tcPr>
          <w:p w14:paraId="2875F950">
            <w:pPr>
              <w:pStyle w:val="23"/>
              <w:bidi w:val="0"/>
              <w:rPr>
                <w:rFonts w:hint="default" w:ascii="Times New Roman" w:hAnsi="Times New Roman" w:cs="Times New Roman"/>
                <w:color w:val="auto"/>
              </w:rPr>
            </w:pPr>
            <w:r>
              <w:rPr>
                <w:rFonts w:hint="default" w:ascii="Times New Roman" w:hAnsi="Times New Roman" w:cs="Times New Roman"/>
                <w:color w:val="auto"/>
              </w:rPr>
              <w:t>飞灰仓压力真空释放阀</w:t>
            </w:r>
          </w:p>
        </w:tc>
        <w:tc>
          <w:tcPr>
            <w:tcW w:w="1189" w:type="dxa"/>
            <w:vAlign w:val="center"/>
          </w:tcPr>
          <w:p w14:paraId="0390555C">
            <w:pPr>
              <w:pStyle w:val="23"/>
              <w:bidi w:val="0"/>
              <w:rPr>
                <w:rFonts w:hint="default" w:ascii="Times New Roman" w:hAnsi="Times New Roman" w:cs="Times New Roman"/>
                <w:color w:val="auto"/>
              </w:rPr>
            </w:pPr>
            <w:r>
              <w:rPr>
                <w:rFonts w:hint="default" w:ascii="Times New Roman" w:hAnsi="Times New Roman" w:cs="Times New Roman"/>
                <w:color w:val="auto"/>
              </w:rPr>
              <w:t>DN500</w:t>
            </w:r>
          </w:p>
        </w:tc>
        <w:tc>
          <w:tcPr>
            <w:tcW w:w="667" w:type="dxa"/>
            <w:vAlign w:val="center"/>
          </w:tcPr>
          <w:p w14:paraId="3AE440BF">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0A29A8B9">
            <w:pPr>
              <w:pStyle w:val="23"/>
              <w:bidi w:val="0"/>
              <w:rPr>
                <w:rFonts w:hint="default" w:ascii="Times New Roman" w:hAnsi="Times New Roman" w:cs="Times New Roman"/>
                <w:color w:val="auto"/>
              </w:rPr>
            </w:pPr>
            <w:r>
              <w:rPr>
                <w:rFonts w:hint="default" w:ascii="Times New Roman" w:hAnsi="Times New Roman" w:cs="Times New Roman"/>
                <w:color w:val="auto"/>
              </w:rPr>
              <w:t>飞灰仓压力真空释放阀</w:t>
            </w:r>
          </w:p>
        </w:tc>
        <w:tc>
          <w:tcPr>
            <w:tcW w:w="1039" w:type="dxa"/>
            <w:vAlign w:val="center"/>
          </w:tcPr>
          <w:p w14:paraId="64A0AF52">
            <w:pPr>
              <w:pStyle w:val="23"/>
              <w:bidi w:val="0"/>
              <w:rPr>
                <w:rFonts w:hint="default" w:ascii="Times New Roman" w:hAnsi="Times New Roman" w:cs="Times New Roman"/>
                <w:color w:val="auto"/>
              </w:rPr>
            </w:pPr>
            <w:r>
              <w:rPr>
                <w:rFonts w:hint="default" w:ascii="Times New Roman" w:hAnsi="Times New Roman" w:cs="Times New Roman"/>
                <w:color w:val="auto"/>
              </w:rPr>
              <w:t>DN500</w:t>
            </w:r>
          </w:p>
        </w:tc>
        <w:tc>
          <w:tcPr>
            <w:tcW w:w="570" w:type="dxa"/>
            <w:vAlign w:val="center"/>
          </w:tcPr>
          <w:p w14:paraId="0BC1C418">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6F4E7EBE">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77B3553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0C0417D9">
            <w:pPr>
              <w:pStyle w:val="23"/>
              <w:bidi w:val="0"/>
              <w:rPr>
                <w:rFonts w:hint="default" w:ascii="Times New Roman" w:hAnsi="Times New Roman" w:cs="Times New Roman"/>
                <w:color w:val="auto"/>
              </w:rPr>
            </w:pPr>
            <w:r>
              <w:rPr>
                <w:rFonts w:hint="default" w:ascii="Times New Roman" w:hAnsi="Times New Roman" w:cs="Times New Roman"/>
                <w:color w:val="auto"/>
              </w:rPr>
              <w:t>5</w:t>
            </w:r>
          </w:p>
        </w:tc>
        <w:tc>
          <w:tcPr>
            <w:tcW w:w="1698" w:type="dxa"/>
            <w:vAlign w:val="center"/>
          </w:tcPr>
          <w:p w14:paraId="722952BE">
            <w:pPr>
              <w:pStyle w:val="23"/>
              <w:bidi w:val="0"/>
              <w:rPr>
                <w:rFonts w:hint="default" w:ascii="Times New Roman" w:hAnsi="Times New Roman" w:cs="Times New Roman"/>
                <w:color w:val="auto"/>
              </w:rPr>
            </w:pPr>
            <w:r>
              <w:rPr>
                <w:rFonts w:hint="default" w:ascii="Times New Roman" w:hAnsi="Times New Roman" w:cs="Times New Roman"/>
                <w:color w:val="auto"/>
              </w:rPr>
              <w:t>飞灰仓流化板</w:t>
            </w:r>
          </w:p>
        </w:tc>
        <w:tc>
          <w:tcPr>
            <w:tcW w:w="1189" w:type="dxa"/>
            <w:vAlign w:val="center"/>
          </w:tcPr>
          <w:p w14:paraId="0BF86749">
            <w:pPr>
              <w:pStyle w:val="23"/>
              <w:bidi w:val="0"/>
              <w:rPr>
                <w:rFonts w:hint="default" w:ascii="Times New Roman" w:hAnsi="Times New Roman" w:cs="Times New Roman"/>
                <w:color w:val="auto"/>
              </w:rPr>
            </w:pPr>
            <w:r>
              <w:rPr>
                <w:rFonts w:hint="default" w:ascii="Times New Roman" w:hAnsi="Times New Roman" w:cs="Times New Roman"/>
                <w:color w:val="auto"/>
              </w:rPr>
              <w:t>250x120</w:t>
            </w:r>
          </w:p>
        </w:tc>
        <w:tc>
          <w:tcPr>
            <w:tcW w:w="667" w:type="dxa"/>
            <w:vAlign w:val="center"/>
          </w:tcPr>
          <w:p w14:paraId="3C87D016">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01CF7E6D">
            <w:pPr>
              <w:pStyle w:val="23"/>
              <w:bidi w:val="0"/>
              <w:rPr>
                <w:rFonts w:hint="default" w:ascii="Times New Roman" w:hAnsi="Times New Roman" w:cs="Times New Roman"/>
                <w:color w:val="auto"/>
              </w:rPr>
            </w:pPr>
            <w:r>
              <w:rPr>
                <w:rFonts w:hint="default" w:ascii="Times New Roman" w:hAnsi="Times New Roman" w:cs="Times New Roman"/>
                <w:color w:val="auto"/>
              </w:rPr>
              <w:t>飞灰仓流化板</w:t>
            </w:r>
          </w:p>
        </w:tc>
        <w:tc>
          <w:tcPr>
            <w:tcW w:w="1039" w:type="dxa"/>
            <w:vAlign w:val="center"/>
          </w:tcPr>
          <w:p w14:paraId="5DCC9324">
            <w:pPr>
              <w:pStyle w:val="23"/>
              <w:bidi w:val="0"/>
              <w:rPr>
                <w:rFonts w:hint="default" w:ascii="Times New Roman" w:hAnsi="Times New Roman" w:cs="Times New Roman"/>
                <w:color w:val="auto"/>
              </w:rPr>
            </w:pPr>
            <w:r>
              <w:rPr>
                <w:rFonts w:hint="default" w:ascii="Times New Roman" w:hAnsi="Times New Roman" w:cs="Times New Roman"/>
                <w:color w:val="auto"/>
              </w:rPr>
              <w:t>250x120</w:t>
            </w:r>
          </w:p>
        </w:tc>
        <w:tc>
          <w:tcPr>
            <w:tcW w:w="570" w:type="dxa"/>
            <w:vAlign w:val="center"/>
          </w:tcPr>
          <w:p w14:paraId="2D5A4DDB">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10C20C9D">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7C29E311">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0363E0C7">
            <w:pPr>
              <w:pStyle w:val="23"/>
              <w:bidi w:val="0"/>
              <w:rPr>
                <w:rFonts w:hint="default" w:ascii="Times New Roman" w:hAnsi="Times New Roman" w:cs="Times New Roman"/>
                <w:color w:val="auto"/>
              </w:rPr>
            </w:pPr>
            <w:r>
              <w:rPr>
                <w:rFonts w:hint="default" w:ascii="Times New Roman" w:hAnsi="Times New Roman" w:cs="Times New Roman"/>
                <w:color w:val="auto"/>
              </w:rPr>
              <w:t>6</w:t>
            </w:r>
          </w:p>
        </w:tc>
        <w:tc>
          <w:tcPr>
            <w:tcW w:w="1698" w:type="dxa"/>
            <w:vAlign w:val="center"/>
          </w:tcPr>
          <w:p w14:paraId="2512749F">
            <w:pPr>
              <w:pStyle w:val="23"/>
              <w:bidi w:val="0"/>
              <w:rPr>
                <w:rFonts w:hint="default" w:ascii="Times New Roman" w:hAnsi="Times New Roman" w:cs="Times New Roman"/>
                <w:color w:val="auto"/>
              </w:rPr>
            </w:pPr>
            <w:r>
              <w:rPr>
                <w:rFonts w:hint="default" w:ascii="Times New Roman" w:hAnsi="Times New Roman" w:cs="Times New Roman"/>
                <w:color w:val="auto"/>
              </w:rPr>
              <w:t>飞灰仓流化空气炮</w:t>
            </w:r>
          </w:p>
        </w:tc>
        <w:tc>
          <w:tcPr>
            <w:tcW w:w="1189" w:type="dxa"/>
            <w:vAlign w:val="center"/>
          </w:tcPr>
          <w:p w14:paraId="6A4B4DA5">
            <w:pPr>
              <w:pStyle w:val="23"/>
              <w:bidi w:val="0"/>
              <w:rPr>
                <w:rFonts w:hint="default" w:ascii="Times New Roman" w:hAnsi="Times New Roman" w:cs="Times New Roman"/>
                <w:color w:val="auto"/>
              </w:rPr>
            </w:pPr>
            <w:r>
              <w:rPr>
                <w:rFonts w:hint="default" w:ascii="Times New Roman" w:hAnsi="Times New Roman" w:cs="Times New Roman"/>
                <w:color w:val="auto"/>
              </w:rPr>
              <w:t>SJ-50L</w:t>
            </w:r>
          </w:p>
        </w:tc>
        <w:tc>
          <w:tcPr>
            <w:tcW w:w="667" w:type="dxa"/>
            <w:vAlign w:val="center"/>
          </w:tcPr>
          <w:p w14:paraId="0B96D6C9">
            <w:pPr>
              <w:pStyle w:val="23"/>
              <w:bidi w:val="0"/>
              <w:rPr>
                <w:rFonts w:hint="default" w:ascii="Times New Roman" w:hAnsi="Times New Roman" w:cs="Times New Roman"/>
                <w:color w:val="auto"/>
              </w:rPr>
            </w:pPr>
            <w:r>
              <w:rPr>
                <w:rFonts w:hint="default" w:ascii="Times New Roman" w:hAnsi="Times New Roman" w:cs="Times New Roman"/>
                <w:color w:val="auto"/>
              </w:rPr>
              <w:t>2</w:t>
            </w:r>
          </w:p>
        </w:tc>
        <w:tc>
          <w:tcPr>
            <w:tcW w:w="1927" w:type="dxa"/>
            <w:vAlign w:val="center"/>
          </w:tcPr>
          <w:p w14:paraId="37B0FF31">
            <w:pPr>
              <w:pStyle w:val="23"/>
              <w:bidi w:val="0"/>
              <w:rPr>
                <w:rFonts w:hint="default" w:ascii="Times New Roman" w:hAnsi="Times New Roman" w:cs="Times New Roman"/>
                <w:color w:val="auto"/>
              </w:rPr>
            </w:pPr>
            <w:r>
              <w:rPr>
                <w:rFonts w:hint="default" w:ascii="Times New Roman" w:hAnsi="Times New Roman" w:cs="Times New Roman"/>
                <w:color w:val="auto"/>
              </w:rPr>
              <w:t>飞灰仓流化空气炮</w:t>
            </w:r>
          </w:p>
        </w:tc>
        <w:tc>
          <w:tcPr>
            <w:tcW w:w="1039" w:type="dxa"/>
            <w:vAlign w:val="center"/>
          </w:tcPr>
          <w:p w14:paraId="1BF2CEEA">
            <w:pPr>
              <w:pStyle w:val="23"/>
              <w:bidi w:val="0"/>
              <w:rPr>
                <w:rFonts w:hint="default" w:ascii="Times New Roman" w:hAnsi="Times New Roman" w:cs="Times New Roman"/>
                <w:color w:val="auto"/>
              </w:rPr>
            </w:pPr>
            <w:r>
              <w:rPr>
                <w:rFonts w:hint="default" w:ascii="Times New Roman" w:hAnsi="Times New Roman" w:cs="Times New Roman"/>
                <w:color w:val="auto"/>
              </w:rPr>
              <w:t>SJ-50L</w:t>
            </w:r>
          </w:p>
        </w:tc>
        <w:tc>
          <w:tcPr>
            <w:tcW w:w="570" w:type="dxa"/>
            <w:vAlign w:val="center"/>
          </w:tcPr>
          <w:p w14:paraId="601C2481">
            <w:pPr>
              <w:pStyle w:val="23"/>
              <w:bidi w:val="0"/>
              <w:rPr>
                <w:rFonts w:hint="default" w:ascii="Times New Roman" w:hAnsi="Times New Roman" w:cs="Times New Roman"/>
                <w:color w:val="auto"/>
              </w:rPr>
            </w:pPr>
            <w:r>
              <w:rPr>
                <w:rFonts w:hint="default" w:ascii="Times New Roman" w:hAnsi="Times New Roman" w:cs="Times New Roman"/>
                <w:color w:val="auto"/>
              </w:rPr>
              <w:t>2</w:t>
            </w:r>
          </w:p>
        </w:tc>
        <w:tc>
          <w:tcPr>
            <w:tcW w:w="1653" w:type="dxa"/>
            <w:tcBorders>
              <w:right w:val="nil"/>
            </w:tcBorders>
            <w:vAlign w:val="center"/>
          </w:tcPr>
          <w:p w14:paraId="740BCFFA">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4659593B">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3E7A0F54">
            <w:pPr>
              <w:pStyle w:val="23"/>
              <w:bidi w:val="0"/>
              <w:rPr>
                <w:rFonts w:hint="default" w:ascii="Times New Roman" w:hAnsi="Times New Roman" w:cs="Times New Roman"/>
                <w:color w:val="auto"/>
              </w:rPr>
            </w:pPr>
            <w:r>
              <w:rPr>
                <w:rFonts w:hint="default" w:ascii="Times New Roman" w:hAnsi="Times New Roman" w:cs="Times New Roman"/>
                <w:color w:val="auto"/>
              </w:rPr>
              <w:t>7</w:t>
            </w:r>
          </w:p>
        </w:tc>
        <w:tc>
          <w:tcPr>
            <w:tcW w:w="1698" w:type="dxa"/>
            <w:vAlign w:val="center"/>
          </w:tcPr>
          <w:p w14:paraId="15BFD952">
            <w:pPr>
              <w:pStyle w:val="23"/>
              <w:bidi w:val="0"/>
              <w:rPr>
                <w:rFonts w:hint="default" w:ascii="Times New Roman" w:hAnsi="Times New Roman" w:cs="Times New Roman"/>
                <w:color w:val="auto"/>
              </w:rPr>
            </w:pPr>
            <w:r>
              <w:rPr>
                <w:rFonts w:hint="default" w:ascii="Times New Roman" w:hAnsi="Times New Roman" w:cs="Times New Roman"/>
                <w:color w:val="auto"/>
              </w:rPr>
              <w:t>飞灰仓流化电动振动器</w:t>
            </w:r>
          </w:p>
        </w:tc>
        <w:tc>
          <w:tcPr>
            <w:tcW w:w="1189" w:type="dxa"/>
            <w:vAlign w:val="center"/>
          </w:tcPr>
          <w:p w14:paraId="55EFB231">
            <w:pPr>
              <w:pStyle w:val="23"/>
              <w:bidi w:val="0"/>
              <w:rPr>
                <w:rFonts w:hint="default" w:ascii="Times New Roman" w:hAnsi="Times New Roman" w:cs="Times New Roman"/>
                <w:color w:val="auto"/>
              </w:rPr>
            </w:pPr>
            <w:r>
              <w:rPr>
                <w:rFonts w:hint="default" w:ascii="Times New Roman" w:hAnsi="Times New Roman" w:cs="Times New Roman"/>
                <w:color w:val="auto"/>
              </w:rPr>
              <w:t>MVE300/3</w:t>
            </w:r>
          </w:p>
        </w:tc>
        <w:tc>
          <w:tcPr>
            <w:tcW w:w="667" w:type="dxa"/>
            <w:vAlign w:val="center"/>
          </w:tcPr>
          <w:p w14:paraId="723EFB22">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20D1DCB1">
            <w:pPr>
              <w:pStyle w:val="23"/>
              <w:bidi w:val="0"/>
              <w:rPr>
                <w:rFonts w:hint="default" w:ascii="Times New Roman" w:hAnsi="Times New Roman" w:cs="Times New Roman"/>
                <w:color w:val="auto"/>
              </w:rPr>
            </w:pPr>
            <w:r>
              <w:rPr>
                <w:rFonts w:hint="default" w:ascii="Times New Roman" w:hAnsi="Times New Roman" w:cs="Times New Roman"/>
                <w:color w:val="auto"/>
              </w:rPr>
              <w:t>飞灰仓流化电动振动器</w:t>
            </w:r>
          </w:p>
        </w:tc>
        <w:tc>
          <w:tcPr>
            <w:tcW w:w="1039" w:type="dxa"/>
            <w:vAlign w:val="center"/>
          </w:tcPr>
          <w:p w14:paraId="58702F80">
            <w:pPr>
              <w:pStyle w:val="23"/>
              <w:bidi w:val="0"/>
              <w:rPr>
                <w:rFonts w:hint="default" w:ascii="Times New Roman" w:hAnsi="Times New Roman" w:cs="Times New Roman"/>
                <w:color w:val="auto"/>
              </w:rPr>
            </w:pPr>
            <w:r>
              <w:rPr>
                <w:rFonts w:hint="default" w:ascii="Times New Roman" w:hAnsi="Times New Roman" w:cs="Times New Roman"/>
                <w:color w:val="auto"/>
              </w:rPr>
              <w:t>MVE300/3</w:t>
            </w:r>
          </w:p>
        </w:tc>
        <w:tc>
          <w:tcPr>
            <w:tcW w:w="570" w:type="dxa"/>
            <w:vAlign w:val="center"/>
          </w:tcPr>
          <w:p w14:paraId="1C48BA82">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61F8FFC3">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7962748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430DFDF1">
            <w:pPr>
              <w:pStyle w:val="23"/>
              <w:bidi w:val="0"/>
              <w:rPr>
                <w:rFonts w:hint="default" w:ascii="Times New Roman" w:hAnsi="Times New Roman" w:cs="Times New Roman"/>
                <w:color w:val="auto"/>
              </w:rPr>
            </w:pPr>
            <w:r>
              <w:rPr>
                <w:rFonts w:hint="default" w:ascii="Times New Roman" w:hAnsi="Times New Roman" w:cs="Times New Roman"/>
                <w:color w:val="auto"/>
              </w:rPr>
              <w:t>8</w:t>
            </w:r>
          </w:p>
        </w:tc>
        <w:tc>
          <w:tcPr>
            <w:tcW w:w="1698" w:type="dxa"/>
            <w:vAlign w:val="center"/>
          </w:tcPr>
          <w:p w14:paraId="5E1585B6">
            <w:pPr>
              <w:pStyle w:val="23"/>
              <w:bidi w:val="0"/>
              <w:rPr>
                <w:rFonts w:hint="default" w:ascii="Times New Roman" w:hAnsi="Times New Roman" w:cs="Times New Roman"/>
                <w:color w:val="auto"/>
              </w:rPr>
            </w:pPr>
            <w:r>
              <w:rPr>
                <w:rFonts w:hint="default" w:ascii="Times New Roman" w:hAnsi="Times New Roman" w:cs="Times New Roman"/>
                <w:color w:val="auto"/>
              </w:rPr>
              <w:t>飞灰仓手动插板阀</w:t>
            </w:r>
          </w:p>
        </w:tc>
        <w:tc>
          <w:tcPr>
            <w:tcW w:w="1189" w:type="dxa"/>
            <w:vAlign w:val="center"/>
          </w:tcPr>
          <w:p w14:paraId="25CFA39F">
            <w:pPr>
              <w:pStyle w:val="23"/>
              <w:bidi w:val="0"/>
              <w:rPr>
                <w:rFonts w:hint="default" w:ascii="Times New Roman" w:hAnsi="Times New Roman" w:cs="Times New Roman"/>
                <w:color w:val="auto"/>
              </w:rPr>
            </w:pPr>
            <w:r>
              <w:rPr>
                <w:rFonts w:hint="default" w:ascii="Times New Roman" w:hAnsi="Times New Roman" w:cs="Times New Roman"/>
                <w:color w:val="auto"/>
              </w:rPr>
              <w:t>DN400</w:t>
            </w:r>
          </w:p>
        </w:tc>
        <w:tc>
          <w:tcPr>
            <w:tcW w:w="667" w:type="dxa"/>
            <w:vAlign w:val="center"/>
          </w:tcPr>
          <w:p w14:paraId="65CF86EF">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15A045F9">
            <w:pPr>
              <w:pStyle w:val="23"/>
              <w:bidi w:val="0"/>
              <w:rPr>
                <w:rFonts w:hint="default" w:ascii="Times New Roman" w:hAnsi="Times New Roman" w:cs="Times New Roman"/>
                <w:color w:val="auto"/>
              </w:rPr>
            </w:pPr>
            <w:r>
              <w:rPr>
                <w:rFonts w:hint="default" w:ascii="Times New Roman" w:hAnsi="Times New Roman" w:cs="Times New Roman"/>
                <w:color w:val="auto"/>
              </w:rPr>
              <w:t>飞灰仓手动插板阀</w:t>
            </w:r>
          </w:p>
        </w:tc>
        <w:tc>
          <w:tcPr>
            <w:tcW w:w="1039" w:type="dxa"/>
            <w:vAlign w:val="center"/>
          </w:tcPr>
          <w:p w14:paraId="1D644EED">
            <w:pPr>
              <w:pStyle w:val="23"/>
              <w:bidi w:val="0"/>
              <w:rPr>
                <w:rFonts w:hint="default" w:ascii="Times New Roman" w:hAnsi="Times New Roman" w:cs="Times New Roman"/>
                <w:color w:val="auto"/>
              </w:rPr>
            </w:pPr>
            <w:r>
              <w:rPr>
                <w:rFonts w:hint="default" w:ascii="Times New Roman" w:hAnsi="Times New Roman" w:cs="Times New Roman"/>
                <w:color w:val="auto"/>
              </w:rPr>
              <w:t>DN400</w:t>
            </w:r>
          </w:p>
        </w:tc>
        <w:tc>
          <w:tcPr>
            <w:tcW w:w="570" w:type="dxa"/>
            <w:vAlign w:val="center"/>
          </w:tcPr>
          <w:p w14:paraId="6D3DFF0E">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10E896D5">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37055EF">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851DD55">
            <w:pPr>
              <w:pStyle w:val="23"/>
              <w:bidi w:val="0"/>
              <w:rPr>
                <w:rFonts w:hint="default" w:ascii="Times New Roman" w:hAnsi="Times New Roman" w:cs="Times New Roman"/>
                <w:color w:val="auto"/>
              </w:rPr>
            </w:pPr>
            <w:r>
              <w:rPr>
                <w:rFonts w:hint="default" w:ascii="Times New Roman" w:hAnsi="Times New Roman" w:cs="Times New Roman"/>
                <w:color w:val="auto"/>
              </w:rPr>
              <w:t>9</w:t>
            </w:r>
          </w:p>
        </w:tc>
        <w:tc>
          <w:tcPr>
            <w:tcW w:w="1698" w:type="dxa"/>
            <w:vAlign w:val="center"/>
          </w:tcPr>
          <w:p w14:paraId="44FF8A3C">
            <w:pPr>
              <w:pStyle w:val="23"/>
              <w:bidi w:val="0"/>
              <w:rPr>
                <w:rFonts w:hint="default" w:ascii="Times New Roman" w:hAnsi="Times New Roman" w:cs="Times New Roman"/>
                <w:color w:val="auto"/>
              </w:rPr>
            </w:pPr>
            <w:r>
              <w:rPr>
                <w:rFonts w:hint="default" w:ascii="Times New Roman" w:hAnsi="Times New Roman" w:cs="Times New Roman"/>
                <w:color w:val="auto"/>
              </w:rPr>
              <w:t>飞灰仓保温</w:t>
            </w:r>
          </w:p>
        </w:tc>
        <w:tc>
          <w:tcPr>
            <w:tcW w:w="1189" w:type="dxa"/>
            <w:vAlign w:val="center"/>
          </w:tcPr>
          <w:p w14:paraId="627E2913">
            <w:pPr>
              <w:pStyle w:val="23"/>
              <w:bidi w:val="0"/>
              <w:rPr>
                <w:rFonts w:hint="default" w:ascii="Times New Roman" w:hAnsi="Times New Roman" w:cs="Times New Roman"/>
                <w:color w:val="auto"/>
              </w:rPr>
            </w:pPr>
            <w:r>
              <w:rPr>
                <w:rFonts w:hint="default" w:ascii="Times New Roman" w:hAnsi="Times New Roman" w:cs="Times New Roman"/>
                <w:color w:val="auto"/>
              </w:rPr>
              <w:t>配套</w:t>
            </w:r>
          </w:p>
        </w:tc>
        <w:tc>
          <w:tcPr>
            <w:tcW w:w="667" w:type="dxa"/>
            <w:vAlign w:val="center"/>
          </w:tcPr>
          <w:p w14:paraId="4009A19C">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5529B5C6">
            <w:pPr>
              <w:pStyle w:val="23"/>
              <w:bidi w:val="0"/>
              <w:rPr>
                <w:rFonts w:hint="default" w:ascii="Times New Roman" w:hAnsi="Times New Roman" w:cs="Times New Roman"/>
                <w:color w:val="auto"/>
              </w:rPr>
            </w:pPr>
            <w:r>
              <w:rPr>
                <w:rFonts w:hint="default" w:ascii="Times New Roman" w:hAnsi="Times New Roman" w:cs="Times New Roman"/>
                <w:color w:val="auto"/>
              </w:rPr>
              <w:t>飞灰仓保温</w:t>
            </w:r>
          </w:p>
        </w:tc>
        <w:tc>
          <w:tcPr>
            <w:tcW w:w="1039" w:type="dxa"/>
            <w:vAlign w:val="center"/>
          </w:tcPr>
          <w:p w14:paraId="291010E9">
            <w:pPr>
              <w:pStyle w:val="23"/>
              <w:bidi w:val="0"/>
              <w:rPr>
                <w:rFonts w:hint="default" w:ascii="Times New Roman" w:hAnsi="Times New Roman" w:cs="Times New Roman"/>
                <w:color w:val="auto"/>
              </w:rPr>
            </w:pPr>
            <w:r>
              <w:rPr>
                <w:rFonts w:hint="default" w:ascii="Times New Roman" w:hAnsi="Times New Roman" w:cs="Times New Roman"/>
                <w:color w:val="auto"/>
              </w:rPr>
              <w:t>配套</w:t>
            </w:r>
          </w:p>
        </w:tc>
        <w:tc>
          <w:tcPr>
            <w:tcW w:w="570" w:type="dxa"/>
            <w:vAlign w:val="center"/>
          </w:tcPr>
          <w:p w14:paraId="33CE5680">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3FCAD095">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666DEF47">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22B0DF35">
            <w:pPr>
              <w:pStyle w:val="23"/>
              <w:bidi w:val="0"/>
              <w:rPr>
                <w:rFonts w:hint="default" w:ascii="Times New Roman" w:hAnsi="Times New Roman" w:cs="Times New Roman"/>
                <w:color w:val="auto"/>
              </w:rPr>
            </w:pPr>
            <w:r>
              <w:rPr>
                <w:rFonts w:hint="default" w:ascii="Times New Roman" w:hAnsi="Times New Roman" w:cs="Times New Roman"/>
                <w:color w:val="auto"/>
              </w:rPr>
              <w:t>10</w:t>
            </w:r>
          </w:p>
        </w:tc>
        <w:tc>
          <w:tcPr>
            <w:tcW w:w="1698" w:type="dxa"/>
            <w:vAlign w:val="center"/>
          </w:tcPr>
          <w:p w14:paraId="5DDAB864">
            <w:pPr>
              <w:pStyle w:val="23"/>
              <w:bidi w:val="0"/>
              <w:rPr>
                <w:rFonts w:hint="default" w:ascii="Times New Roman" w:hAnsi="Times New Roman" w:cs="Times New Roman"/>
                <w:color w:val="auto"/>
              </w:rPr>
            </w:pPr>
            <w:r>
              <w:rPr>
                <w:rFonts w:hint="default" w:ascii="Times New Roman" w:hAnsi="Times New Roman" w:cs="Times New Roman"/>
                <w:color w:val="auto"/>
              </w:rPr>
              <w:t>灰库锥体电伴热</w:t>
            </w:r>
          </w:p>
        </w:tc>
        <w:tc>
          <w:tcPr>
            <w:tcW w:w="1189" w:type="dxa"/>
            <w:vAlign w:val="center"/>
          </w:tcPr>
          <w:p w14:paraId="2BADEC48">
            <w:pPr>
              <w:pStyle w:val="23"/>
              <w:bidi w:val="0"/>
              <w:rPr>
                <w:rFonts w:hint="default" w:ascii="Times New Roman" w:hAnsi="Times New Roman" w:cs="Times New Roman"/>
                <w:color w:val="auto"/>
              </w:rPr>
            </w:pPr>
            <w:r>
              <w:rPr>
                <w:rFonts w:hint="default" w:ascii="Times New Roman" w:hAnsi="Times New Roman" w:cs="Times New Roman"/>
                <w:color w:val="auto"/>
              </w:rPr>
              <w:t>配套</w:t>
            </w:r>
          </w:p>
        </w:tc>
        <w:tc>
          <w:tcPr>
            <w:tcW w:w="667" w:type="dxa"/>
            <w:vAlign w:val="center"/>
          </w:tcPr>
          <w:p w14:paraId="6980C364">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000ECD4D">
            <w:pPr>
              <w:pStyle w:val="23"/>
              <w:bidi w:val="0"/>
              <w:rPr>
                <w:rFonts w:hint="default" w:ascii="Times New Roman" w:hAnsi="Times New Roman" w:cs="Times New Roman"/>
                <w:color w:val="auto"/>
              </w:rPr>
            </w:pPr>
            <w:r>
              <w:rPr>
                <w:rFonts w:hint="default" w:ascii="Times New Roman" w:hAnsi="Times New Roman" w:cs="Times New Roman"/>
                <w:color w:val="auto"/>
              </w:rPr>
              <w:t>灰库锥体电伴热</w:t>
            </w:r>
          </w:p>
        </w:tc>
        <w:tc>
          <w:tcPr>
            <w:tcW w:w="1039" w:type="dxa"/>
            <w:vAlign w:val="center"/>
          </w:tcPr>
          <w:p w14:paraId="02460DE2">
            <w:pPr>
              <w:pStyle w:val="23"/>
              <w:bidi w:val="0"/>
              <w:rPr>
                <w:rFonts w:hint="default" w:ascii="Times New Roman" w:hAnsi="Times New Roman" w:cs="Times New Roman"/>
                <w:color w:val="auto"/>
              </w:rPr>
            </w:pPr>
            <w:r>
              <w:rPr>
                <w:rFonts w:hint="default" w:ascii="Times New Roman" w:hAnsi="Times New Roman" w:cs="Times New Roman"/>
                <w:color w:val="auto"/>
              </w:rPr>
              <w:t>配套</w:t>
            </w:r>
          </w:p>
        </w:tc>
        <w:tc>
          <w:tcPr>
            <w:tcW w:w="570" w:type="dxa"/>
            <w:vAlign w:val="center"/>
          </w:tcPr>
          <w:p w14:paraId="04C368DA">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2FBA8863">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0C8DC1CB">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1E132676">
            <w:pPr>
              <w:pStyle w:val="23"/>
              <w:bidi w:val="0"/>
              <w:rPr>
                <w:rFonts w:hint="default" w:ascii="Times New Roman" w:hAnsi="Times New Roman" w:cs="Times New Roman"/>
                <w:color w:val="auto"/>
              </w:rPr>
            </w:pPr>
            <w:r>
              <w:rPr>
                <w:rFonts w:hint="default" w:ascii="Times New Roman" w:hAnsi="Times New Roman" w:cs="Times New Roman"/>
                <w:color w:val="auto"/>
              </w:rPr>
              <w:t>11</w:t>
            </w:r>
          </w:p>
        </w:tc>
        <w:tc>
          <w:tcPr>
            <w:tcW w:w="1698" w:type="dxa"/>
            <w:vAlign w:val="center"/>
          </w:tcPr>
          <w:p w14:paraId="53F3F4CC">
            <w:pPr>
              <w:pStyle w:val="23"/>
              <w:bidi w:val="0"/>
              <w:rPr>
                <w:rFonts w:hint="default" w:ascii="Times New Roman" w:hAnsi="Times New Roman" w:cs="Times New Roman"/>
                <w:color w:val="auto"/>
              </w:rPr>
            </w:pPr>
            <w:r>
              <w:rPr>
                <w:rFonts w:hint="default" w:ascii="Times New Roman" w:hAnsi="Times New Roman" w:cs="Times New Roman"/>
                <w:color w:val="auto"/>
              </w:rPr>
              <w:t>水泥仓手动插板阀</w:t>
            </w:r>
          </w:p>
        </w:tc>
        <w:tc>
          <w:tcPr>
            <w:tcW w:w="1189" w:type="dxa"/>
            <w:vAlign w:val="center"/>
          </w:tcPr>
          <w:p w14:paraId="6E453137">
            <w:pPr>
              <w:pStyle w:val="23"/>
              <w:bidi w:val="0"/>
              <w:rPr>
                <w:rFonts w:hint="default" w:ascii="Times New Roman" w:hAnsi="Times New Roman" w:cs="Times New Roman"/>
                <w:color w:val="auto"/>
              </w:rPr>
            </w:pPr>
            <w:r>
              <w:rPr>
                <w:rFonts w:hint="default" w:ascii="Times New Roman" w:hAnsi="Times New Roman" w:cs="Times New Roman"/>
                <w:color w:val="auto"/>
              </w:rPr>
              <w:t>DN300</w:t>
            </w:r>
          </w:p>
        </w:tc>
        <w:tc>
          <w:tcPr>
            <w:tcW w:w="667" w:type="dxa"/>
            <w:vAlign w:val="center"/>
          </w:tcPr>
          <w:p w14:paraId="00228175">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1E8F6D77">
            <w:pPr>
              <w:pStyle w:val="23"/>
              <w:bidi w:val="0"/>
              <w:rPr>
                <w:rFonts w:hint="default" w:ascii="Times New Roman" w:hAnsi="Times New Roman" w:cs="Times New Roman"/>
                <w:color w:val="auto"/>
              </w:rPr>
            </w:pPr>
            <w:r>
              <w:rPr>
                <w:rFonts w:hint="default" w:ascii="Times New Roman" w:hAnsi="Times New Roman" w:cs="Times New Roman"/>
                <w:color w:val="auto"/>
              </w:rPr>
              <w:t>水泥仓手动插板阀</w:t>
            </w:r>
          </w:p>
        </w:tc>
        <w:tc>
          <w:tcPr>
            <w:tcW w:w="1039" w:type="dxa"/>
            <w:vAlign w:val="center"/>
          </w:tcPr>
          <w:p w14:paraId="366CF8ED">
            <w:pPr>
              <w:pStyle w:val="23"/>
              <w:bidi w:val="0"/>
              <w:rPr>
                <w:rFonts w:hint="default" w:ascii="Times New Roman" w:hAnsi="Times New Roman" w:cs="Times New Roman"/>
                <w:color w:val="auto"/>
              </w:rPr>
            </w:pPr>
            <w:r>
              <w:rPr>
                <w:rFonts w:hint="default" w:ascii="Times New Roman" w:hAnsi="Times New Roman" w:cs="Times New Roman"/>
                <w:color w:val="auto"/>
              </w:rPr>
              <w:t>DN300</w:t>
            </w:r>
          </w:p>
        </w:tc>
        <w:tc>
          <w:tcPr>
            <w:tcW w:w="570" w:type="dxa"/>
            <w:vAlign w:val="center"/>
          </w:tcPr>
          <w:p w14:paraId="770019D6">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07E4937E">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77BC4B0">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73F9F5A9">
            <w:pPr>
              <w:pStyle w:val="23"/>
              <w:bidi w:val="0"/>
              <w:rPr>
                <w:rFonts w:hint="default" w:ascii="Times New Roman" w:hAnsi="Times New Roman" w:cs="Times New Roman"/>
                <w:color w:val="auto"/>
              </w:rPr>
            </w:pPr>
            <w:r>
              <w:rPr>
                <w:rFonts w:hint="default" w:ascii="Times New Roman" w:hAnsi="Times New Roman" w:cs="Times New Roman"/>
                <w:color w:val="auto"/>
              </w:rPr>
              <w:t>12</w:t>
            </w:r>
          </w:p>
        </w:tc>
        <w:tc>
          <w:tcPr>
            <w:tcW w:w="1698" w:type="dxa"/>
            <w:vAlign w:val="center"/>
          </w:tcPr>
          <w:p w14:paraId="100BC998">
            <w:pPr>
              <w:pStyle w:val="23"/>
              <w:bidi w:val="0"/>
              <w:rPr>
                <w:rFonts w:hint="default" w:ascii="Times New Roman" w:hAnsi="Times New Roman" w:cs="Times New Roman"/>
                <w:color w:val="auto"/>
              </w:rPr>
            </w:pPr>
            <w:r>
              <w:rPr>
                <w:rFonts w:hint="default" w:ascii="Times New Roman" w:hAnsi="Times New Roman" w:cs="Times New Roman"/>
                <w:color w:val="auto"/>
              </w:rPr>
              <w:t>飞灰仓气动插板阀</w:t>
            </w:r>
          </w:p>
        </w:tc>
        <w:tc>
          <w:tcPr>
            <w:tcW w:w="1189" w:type="dxa"/>
            <w:vAlign w:val="center"/>
          </w:tcPr>
          <w:p w14:paraId="28839B32">
            <w:pPr>
              <w:pStyle w:val="23"/>
              <w:bidi w:val="0"/>
              <w:rPr>
                <w:rFonts w:hint="default" w:ascii="Times New Roman" w:hAnsi="Times New Roman" w:cs="Times New Roman"/>
                <w:color w:val="auto"/>
              </w:rPr>
            </w:pPr>
            <w:r>
              <w:rPr>
                <w:rFonts w:hint="default" w:ascii="Times New Roman" w:hAnsi="Times New Roman" w:cs="Times New Roman"/>
                <w:color w:val="auto"/>
              </w:rPr>
              <w:t>DN400</w:t>
            </w:r>
          </w:p>
        </w:tc>
        <w:tc>
          <w:tcPr>
            <w:tcW w:w="667" w:type="dxa"/>
            <w:vAlign w:val="center"/>
          </w:tcPr>
          <w:p w14:paraId="1E5060AF">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374A7D97">
            <w:pPr>
              <w:pStyle w:val="23"/>
              <w:bidi w:val="0"/>
              <w:rPr>
                <w:rFonts w:hint="default" w:ascii="Times New Roman" w:hAnsi="Times New Roman" w:cs="Times New Roman"/>
                <w:color w:val="auto"/>
              </w:rPr>
            </w:pPr>
            <w:r>
              <w:rPr>
                <w:rFonts w:hint="default" w:ascii="Times New Roman" w:hAnsi="Times New Roman" w:cs="Times New Roman"/>
                <w:color w:val="auto"/>
              </w:rPr>
              <w:t>飞灰仓气动插板阀</w:t>
            </w:r>
          </w:p>
        </w:tc>
        <w:tc>
          <w:tcPr>
            <w:tcW w:w="1039" w:type="dxa"/>
            <w:vAlign w:val="center"/>
          </w:tcPr>
          <w:p w14:paraId="5501CF8D">
            <w:pPr>
              <w:pStyle w:val="23"/>
              <w:bidi w:val="0"/>
              <w:rPr>
                <w:rFonts w:hint="default" w:ascii="Times New Roman" w:hAnsi="Times New Roman" w:cs="Times New Roman"/>
                <w:color w:val="auto"/>
              </w:rPr>
            </w:pPr>
            <w:r>
              <w:rPr>
                <w:rFonts w:hint="default" w:ascii="Times New Roman" w:hAnsi="Times New Roman" w:cs="Times New Roman"/>
                <w:color w:val="auto"/>
              </w:rPr>
              <w:t>DN400</w:t>
            </w:r>
          </w:p>
        </w:tc>
        <w:tc>
          <w:tcPr>
            <w:tcW w:w="570" w:type="dxa"/>
            <w:vAlign w:val="center"/>
          </w:tcPr>
          <w:p w14:paraId="0BF86694">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7D9CE351">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C9C870D">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0E2CBE80">
            <w:pPr>
              <w:pStyle w:val="23"/>
              <w:bidi w:val="0"/>
              <w:rPr>
                <w:rFonts w:hint="default" w:ascii="Times New Roman" w:hAnsi="Times New Roman" w:cs="Times New Roman"/>
                <w:color w:val="auto"/>
              </w:rPr>
            </w:pPr>
            <w:r>
              <w:rPr>
                <w:rFonts w:hint="default" w:ascii="Times New Roman" w:hAnsi="Times New Roman" w:cs="Times New Roman"/>
                <w:color w:val="auto"/>
              </w:rPr>
              <w:t>13</w:t>
            </w:r>
          </w:p>
        </w:tc>
        <w:tc>
          <w:tcPr>
            <w:tcW w:w="1698" w:type="dxa"/>
            <w:vAlign w:val="center"/>
          </w:tcPr>
          <w:p w14:paraId="26DDFDAB">
            <w:pPr>
              <w:pStyle w:val="23"/>
              <w:bidi w:val="0"/>
              <w:rPr>
                <w:rFonts w:hint="default" w:ascii="Times New Roman" w:hAnsi="Times New Roman" w:cs="Times New Roman"/>
                <w:color w:val="auto"/>
              </w:rPr>
            </w:pPr>
            <w:r>
              <w:rPr>
                <w:rFonts w:hint="default" w:ascii="Times New Roman" w:hAnsi="Times New Roman" w:cs="Times New Roman"/>
                <w:color w:val="auto"/>
              </w:rPr>
              <w:t>飞灰螺旋输送机</w:t>
            </w:r>
          </w:p>
        </w:tc>
        <w:tc>
          <w:tcPr>
            <w:tcW w:w="1189" w:type="dxa"/>
            <w:vAlign w:val="center"/>
          </w:tcPr>
          <w:p w14:paraId="166402B9">
            <w:pPr>
              <w:pStyle w:val="23"/>
              <w:bidi w:val="0"/>
              <w:rPr>
                <w:rFonts w:hint="default" w:ascii="Times New Roman" w:hAnsi="Times New Roman" w:cs="Times New Roman"/>
                <w:color w:val="auto"/>
              </w:rPr>
            </w:pPr>
            <w:r>
              <w:rPr>
                <w:rFonts w:hint="default" w:ascii="Times New Roman" w:hAnsi="Times New Roman" w:cs="Times New Roman"/>
                <w:color w:val="auto"/>
              </w:rPr>
              <w:t>LX323</w:t>
            </w:r>
          </w:p>
        </w:tc>
        <w:tc>
          <w:tcPr>
            <w:tcW w:w="667" w:type="dxa"/>
            <w:vAlign w:val="center"/>
          </w:tcPr>
          <w:p w14:paraId="536A0998">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73FB15D6">
            <w:pPr>
              <w:pStyle w:val="23"/>
              <w:bidi w:val="0"/>
              <w:rPr>
                <w:rFonts w:hint="default" w:ascii="Times New Roman" w:hAnsi="Times New Roman" w:cs="Times New Roman"/>
                <w:color w:val="auto"/>
              </w:rPr>
            </w:pPr>
            <w:r>
              <w:rPr>
                <w:rFonts w:hint="default" w:ascii="Times New Roman" w:hAnsi="Times New Roman" w:cs="Times New Roman"/>
                <w:color w:val="auto"/>
              </w:rPr>
              <w:t>飞灰螺旋输送机</w:t>
            </w:r>
          </w:p>
        </w:tc>
        <w:tc>
          <w:tcPr>
            <w:tcW w:w="1039" w:type="dxa"/>
            <w:vAlign w:val="center"/>
          </w:tcPr>
          <w:p w14:paraId="04C57E29">
            <w:pPr>
              <w:pStyle w:val="23"/>
              <w:bidi w:val="0"/>
              <w:rPr>
                <w:rFonts w:hint="default" w:ascii="Times New Roman" w:hAnsi="Times New Roman" w:cs="Times New Roman"/>
                <w:color w:val="auto"/>
              </w:rPr>
            </w:pPr>
            <w:r>
              <w:rPr>
                <w:rFonts w:hint="default" w:ascii="Times New Roman" w:hAnsi="Times New Roman" w:cs="Times New Roman"/>
                <w:color w:val="auto"/>
              </w:rPr>
              <w:t>LX323</w:t>
            </w:r>
          </w:p>
        </w:tc>
        <w:tc>
          <w:tcPr>
            <w:tcW w:w="570" w:type="dxa"/>
            <w:vAlign w:val="center"/>
          </w:tcPr>
          <w:p w14:paraId="576E7656">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389AFD5A">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4D21956C">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50D21CB3">
            <w:pPr>
              <w:pStyle w:val="23"/>
              <w:bidi w:val="0"/>
              <w:rPr>
                <w:rFonts w:hint="default" w:ascii="Times New Roman" w:hAnsi="Times New Roman" w:cs="Times New Roman"/>
                <w:color w:val="auto"/>
              </w:rPr>
            </w:pPr>
            <w:r>
              <w:rPr>
                <w:rFonts w:hint="default" w:ascii="Times New Roman" w:hAnsi="Times New Roman" w:cs="Times New Roman"/>
                <w:color w:val="auto"/>
              </w:rPr>
              <w:t>14</w:t>
            </w:r>
          </w:p>
        </w:tc>
        <w:tc>
          <w:tcPr>
            <w:tcW w:w="1698" w:type="dxa"/>
            <w:vAlign w:val="center"/>
          </w:tcPr>
          <w:p w14:paraId="231B93C3">
            <w:pPr>
              <w:pStyle w:val="23"/>
              <w:bidi w:val="0"/>
              <w:rPr>
                <w:rFonts w:hint="default" w:ascii="Times New Roman" w:hAnsi="Times New Roman" w:cs="Times New Roman"/>
                <w:color w:val="auto"/>
              </w:rPr>
            </w:pPr>
            <w:r>
              <w:rPr>
                <w:rFonts w:hint="default" w:ascii="Times New Roman" w:hAnsi="Times New Roman" w:cs="Times New Roman"/>
                <w:color w:val="auto"/>
              </w:rPr>
              <w:t>飞灰称重计量仓</w:t>
            </w:r>
          </w:p>
        </w:tc>
        <w:tc>
          <w:tcPr>
            <w:tcW w:w="1189" w:type="dxa"/>
            <w:vAlign w:val="center"/>
          </w:tcPr>
          <w:p w14:paraId="183DABF0">
            <w:pPr>
              <w:pStyle w:val="23"/>
              <w:bidi w:val="0"/>
              <w:rPr>
                <w:rFonts w:hint="default" w:ascii="Times New Roman" w:hAnsi="Times New Roman" w:cs="Times New Roman"/>
                <w:color w:val="auto"/>
              </w:rPr>
            </w:pPr>
            <w:r>
              <w:rPr>
                <w:rFonts w:hint="default" w:ascii="Times New Roman" w:hAnsi="Times New Roman" w:cs="Times New Roman"/>
                <w:color w:val="auto"/>
              </w:rPr>
              <w:t>3m3</w:t>
            </w:r>
          </w:p>
        </w:tc>
        <w:tc>
          <w:tcPr>
            <w:tcW w:w="667" w:type="dxa"/>
            <w:vAlign w:val="center"/>
          </w:tcPr>
          <w:p w14:paraId="604B8C47">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3633C8F3">
            <w:pPr>
              <w:pStyle w:val="23"/>
              <w:bidi w:val="0"/>
              <w:rPr>
                <w:rFonts w:hint="default" w:ascii="Times New Roman" w:hAnsi="Times New Roman" w:cs="Times New Roman"/>
                <w:color w:val="auto"/>
              </w:rPr>
            </w:pPr>
            <w:r>
              <w:rPr>
                <w:rFonts w:hint="default" w:ascii="Times New Roman" w:hAnsi="Times New Roman" w:cs="Times New Roman"/>
                <w:color w:val="auto"/>
              </w:rPr>
              <w:t>飞灰称重计量仓</w:t>
            </w:r>
          </w:p>
        </w:tc>
        <w:tc>
          <w:tcPr>
            <w:tcW w:w="1039" w:type="dxa"/>
            <w:vAlign w:val="center"/>
          </w:tcPr>
          <w:p w14:paraId="25D19F30">
            <w:pPr>
              <w:pStyle w:val="23"/>
              <w:bidi w:val="0"/>
              <w:rPr>
                <w:rFonts w:hint="default" w:ascii="Times New Roman" w:hAnsi="Times New Roman" w:cs="Times New Roman"/>
                <w:color w:val="auto"/>
              </w:rPr>
            </w:pPr>
            <w:r>
              <w:rPr>
                <w:rFonts w:hint="default" w:ascii="Times New Roman" w:hAnsi="Times New Roman" w:cs="Times New Roman"/>
                <w:color w:val="auto"/>
              </w:rPr>
              <w:t>3m3</w:t>
            </w:r>
          </w:p>
        </w:tc>
        <w:tc>
          <w:tcPr>
            <w:tcW w:w="570" w:type="dxa"/>
            <w:vAlign w:val="center"/>
          </w:tcPr>
          <w:p w14:paraId="4A560B4A">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653" w:type="dxa"/>
            <w:tcBorders>
              <w:right w:val="nil"/>
            </w:tcBorders>
            <w:vAlign w:val="center"/>
          </w:tcPr>
          <w:p w14:paraId="387952AA">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1780FF7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1B63274">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15</w:t>
            </w:r>
          </w:p>
        </w:tc>
        <w:tc>
          <w:tcPr>
            <w:tcW w:w="1698" w:type="dxa"/>
            <w:vAlign w:val="center"/>
          </w:tcPr>
          <w:p w14:paraId="6EB29679">
            <w:pPr>
              <w:pStyle w:val="23"/>
              <w:bidi w:val="0"/>
              <w:rPr>
                <w:rFonts w:hint="default" w:ascii="Times New Roman" w:hAnsi="Times New Roman" w:cs="Times New Roman"/>
                <w:color w:val="auto"/>
              </w:rPr>
            </w:pPr>
            <w:r>
              <w:rPr>
                <w:rFonts w:hint="default" w:ascii="Times New Roman" w:hAnsi="Times New Roman" w:cs="Times New Roman"/>
                <w:color w:val="auto"/>
              </w:rPr>
              <w:t>飞灰计量仓气动蝶阀</w:t>
            </w:r>
          </w:p>
        </w:tc>
        <w:tc>
          <w:tcPr>
            <w:tcW w:w="1189" w:type="dxa"/>
            <w:vAlign w:val="center"/>
          </w:tcPr>
          <w:p w14:paraId="05A6C6C8">
            <w:pPr>
              <w:pStyle w:val="23"/>
              <w:bidi w:val="0"/>
              <w:rPr>
                <w:rFonts w:hint="default" w:ascii="Times New Roman" w:hAnsi="Times New Roman" w:cs="Times New Roman"/>
                <w:color w:val="auto"/>
              </w:rPr>
            </w:pPr>
            <w:r>
              <w:rPr>
                <w:rFonts w:hint="default" w:ascii="Times New Roman" w:hAnsi="Times New Roman" w:cs="Times New Roman"/>
                <w:color w:val="auto"/>
              </w:rPr>
              <w:t>DN400</w:t>
            </w:r>
          </w:p>
        </w:tc>
        <w:tc>
          <w:tcPr>
            <w:tcW w:w="667" w:type="dxa"/>
            <w:vAlign w:val="center"/>
          </w:tcPr>
          <w:p w14:paraId="32008906">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5DF83DC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飞灰计量仓气动蝶阀</w:t>
            </w:r>
          </w:p>
        </w:tc>
        <w:tc>
          <w:tcPr>
            <w:tcW w:w="1039" w:type="dxa"/>
            <w:vAlign w:val="center"/>
          </w:tcPr>
          <w:p w14:paraId="3C6BF4E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DN400</w:t>
            </w:r>
          </w:p>
        </w:tc>
        <w:tc>
          <w:tcPr>
            <w:tcW w:w="570" w:type="dxa"/>
            <w:vAlign w:val="center"/>
          </w:tcPr>
          <w:p w14:paraId="62806BB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33BAE950">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442AB84C">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3138A0BD">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16</w:t>
            </w:r>
          </w:p>
        </w:tc>
        <w:tc>
          <w:tcPr>
            <w:tcW w:w="1698" w:type="dxa"/>
            <w:vAlign w:val="center"/>
          </w:tcPr>
          <w:p w14:paraId="33EAA0D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软连接1</w:t>
            </w:r>
          </w:p>
        </w:tc>
        <w:tc>
          <w:tcPr>
            <w:tcW w:w="1189" w:type="dxa"/>
            <w:vAlign w:val="center"/>
          </w:tcPr>
          <w:p w14:paraId="7ADF270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DN400</w:t>
            </w:r>
          </w:p>
        </w:tc>
        <w:tc>
          <w:tcPr>
            <w:tcW w:w="667" w:type="dxa"/>
            <w:vAlign w:val="center"/>
          </w:tcPr>
          <w:p w14:paraId="0630F5B9">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927" w:type="dxa"/>
            <w:vAlign w:val="center"/>
          </w:tcPr>
          <w:p w14:paraId="0502B11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软连接1</w:t>
            </w:r>
          </w:p>
        </w:tc>
        <w:tc>
          <w:tcPr>
            <w:tcW w:w="1039" w:type="dxa"/>
            <w:vAlign w:val="center"/>
          </w:tcPr>
          <w:p w14:paraId="00ED1FF4">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DN400</w:t>
            </w:r>
          </w:p>
        </w:tc>
        <w:tc>
          <w:tcPr>
            <w:tcW w:w="570" w:type="dxa"/>
            <w:vAlign w:val="center"/>
          </w:tcPr>
          <w:p w14:paraId="7017E8FB">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653" w:type="dxa"/>
            <w:tcBorders>
              <w:right w:val="nil"/>
            </w:tcBorders>
            <w:vAlign w:val="center"/>
          </w:tcPr>
          <w:p w14:paraId="705EC5B1">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23F9D2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04A6D6EE">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17</w:t>
            </w:r>
          </w:p>
        </w:tc>
        <w:tc>
          <w:tcPr>
            <w:tcW w:w="1698" w:type="dxa"/>
            <w:vAlign w:val="center"/>
          </w:tcPr>
          <w:p w14:paraId="16E42E3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飞灰计量仓电动振动器</w:t>
            </w:r>
          </w:p>
        </w:tc>
        <w:tc>
          <w:tcPr>
            <w:tcW w:w="1189" w:type="dxa"/>
            <w:vAlign w:val="center"/>
          </w:tcPr>
          <w:p w14:paraId="466C3AE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DN400x250</w:t>
            </w:r>
          </w:p>
        </w:tc>
        <w:tc>
          <w:tcPr>
            <w:tcW w:w="667" w:type="dxa"/>
            <w:vAlign w:val="center"/>
          </w:tcPr>
          <w:p w14:paraId="0C7FB10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5E39339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飞灰计量仓电动振动器</w:t>
            </w:r>
          </w:p>
        </w:tc>
        <w:tc>
          <w:tcPr>
            <w:tcW w:w="1039" w:type="dxa"/>
            <w:vAlign w:val="center"/>
          </w:tcPr>
          <w:p w14:paraId="7E538FA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DN400x250</w:t>
            </w:r>
          </w:p>
        </w:tc>
        <w:tc>
          <w:tcPr>
            <w:tcW w:w="570" w:type="dxa"/>
            <w:vAlign w:val="center"/>
          </w:tcPr>
          <w:p w14:paraId="42A3C9F4">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1AD2AD28">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72CFCC63">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49D77515">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18</w:t>
            </w:r>
          </w:p>
        </w:tc>
        <w:tc>
          <w:tcPr>
            <w:tcW w:w="1698" w:type="dxa"/>
            <w:vAlign w:val="center"/>
          </w:tcPr>
          <w:p w14:paraId="0D85DF2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软连接2</w:t>
            </w:r>
          </w:p>
        </w:tc>
        <w:tc>
          <w:tcPr>
            <w:tcW w:w="1189" w:type="dxa"/>
            <w:vAlign w:val="center"/>
          </w:tcPr>
          <w:p w14:paraId="779FC09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MVE300/3</w:t>
            </w:r>
          </w:p>
        </w:tc>
        <w:tc>
          <w:tcPr>
            <w:tcW w:w="667" w:type="dxa"/>
            <w:vAlign w:val="center"/>
          </w:tcPr>
          <w:p w14:paraId="760A614E">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927" w:type="dxa"/>
            <w:vAlign w:val="center"/>
          </w:tcPr>
          <w:p w14:paraId="3D311A6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软连接2</w:t>
            </w:r>
          </w:p>
        </w:tc>
        <w:tc>
          <w:tcPr>
            <w:tcW w:w="1039" w:type="dxa"/>
            <w:vAlign w:val="center"/>
          </w:tcPr>
          <w:p w14:paraId="30044D0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MVE300/3</w:t>
            </w:r>
          </w:p>
        </w:tc>
        <w:tc>
          <w:tcPr>
            <w:tcW w:w="570" w:type="dxa"/>
            <w:vAlign w:val="center"/>
          </w:tcPr>
          <w:p w14:paraId="3B0602E5">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653" w:type="dxa"/>
            <w:tcBorders>
              <w:right w:val="nil"/>
            </w:tcBorders>
            <w:vAlign w:val="center"/>
          </w:tcPr>
          <w:p w14:paraId="31CDDC84">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04A81EA6">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1A552491">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19</w:t>
            </w:r>
          </w:p>
        </w:tc>
        <w:tc>
          <w:tcPr>
            <w:tcW w:w="1698" w:type="dxa"/>
            <w:vAlign w:val="center"/>
          </w:tcPr>
          <w:p w14:paraId="3AB0B81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水泥星形给料阀</w:t>
            </w:r>
          </w:p>
        </w:tc>
        <w:tc>
          <w:tcPr>
            <w:tcW w:w="1189" w:type="dxa"/>
            <w:vAlign w:val="center"/>
          </w:tcPr>
          <w:p w14:paraId="6966BC5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DN300x250</w:t>
            </w:r>
          </w:p>
        </w:tc>
        <w:tc>
          <w:tcPr>
            <w:tcW w:w="667" w:type="dxa"/>
            <w:vAlign w:val="center"/>
          </w:tcPr>
          <w:p w14:paraId="399451F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55B45A4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水泥星形给 料阀</w:t>
            </w:r>
          </w:p>
        </w:tc>
        <w:tc>
          <w:tcPr>
            <w:tcW w:w="1039" w:type="dxa"/>
            <w:vAlign w:val="center"/>
          </w:tcPr>
          <w:p w14:paraId="518F045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DN300x250</w:t>
            </w:r>
          </w:p>
        </w:tc>
        <w:tc>
          <w:tcPr>
            <w:tcW w:w="570" w:type="dxa"/>
            <w:vAlign w:val="center"/>
          </w:tcPr>
          <w:p w14:paraId="0E828DD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6FA3788C">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1C0DCA4B">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434EC0F8">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w:t>
            </w:r>
          </w:p>
        </w:tc>
        <w:tc>
          <w:tcPr>
            <w:tcW w:w="1698" w:type="dxa"/>
            <w:vAlign w:val="center"/>
          </w:tcPr>
          <w:p w14:paraId="75398F4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水与螯合剂混合槽</w:t>
            </w:r>
          </w:p>
        </w:tc>
        <w:tc>
          <w:tcPr>
            <w:tcW w:w="1189" w:type="dxa"/>
            <w:vAlign w:val="center"/>
          </w:tcPr>
          <w:p w14:paraId="6D8CAAA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3m3</w:t>
            </w:r>
          </w:p>
        </w:tc>
        <w:tc>
          <w:tcPr>
            <w:tcW w:w="667" w:type="dxa"/>
            <w:vAlign w:val="center"/>
          </w:tcPr>
          <w:p w14:paraId="1A82401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124990E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水与螯合剂混合槽</w:t>
            </w:r>
          </w:p>
        </w:tc>
        <w:tc>
          <w:tcPr>
            <w:tcW w:w="1039" w:type="dxa"/>
            <w:vAlign w:val="center"/>
          </w:tcPr>
          <w:p w14:paraId="707E9BA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3m3</w:t>
            </w:r>
          </w:p>
        </w:tc>
        <w:tc>
          <w:tcPr>
            <w:tcW w:w="570" w:type="dxa"/>
            <w:vAlign w:val="center"/>
          </w:tcPr>
          <w:p w14:paraId="7A035ED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5F39DFCC">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6D2CB09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C2A6BA6">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21</w:t>
            </w:r>
          </w:p>
        </w:tc>
        <w:tc>
          <w:tcPr>
            <w:tcW w:w="1698" w:type="dxa"/>
            <w:vAlign w:val="center"/>
          </w:tcPr>
          <w:p w14:paraId="40E8510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混合槽搅拌器</w:t>
            </w:r>
          </w:p>
        </w:tc>
        <w:tc>
          <w:tcPr>
            <w:tcW w:w="1189" w:type="dxa"/>
            <w:vAlign w:val="center"/>
          </w:tcPr>
          <w:p w14:paraId="69D8612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配套</w:t>
            </w:r>
          </w:p>
        </w:tc>
        <w:tc>
          <w:tcPr>
            <w:tcW w:w="667" w:type="dxa"/>
            <w:vAlign w:val="center"/>
          </w:tcPr>
          <w:p w14:paraId="7B10FB3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3992E0D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混合槽搅拌器</w:t>
            </w:r>
          </w:p>
        </w:tc>
        <w:tc>
          <w:tcPr>
            <w:tcW w:w="1039" w:type="dxa"/>
            <w:vAlign w:val="center"/>
          </w:tcPr>
          <w:p w14:paraId="0F00BE4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配套</w:t>
            </w:r>
          </w:p>
        </w:tc>
        <w:tc>
          <w:tcPr>
            <w:tcW w:w="570" w:type="dxa"/>
            <w:vAlign w:val="center"/>
          </w:tcPr>
          <w:p w14:paraId="3D2A9B3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3B1104AE">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4613A34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5B2ABCCC">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22</w:t>
            </w:r>
          </w:p>
        </w:tc>
        <w:tc>
          <w:tcPr>
            <w:tcW w:w="1698" w:type="dxa"/>
            <w:vAlign w:val="center"/>
          </w:tcPr>
          <w:p w14:paraId="0A6C382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螯合剂加药泵</w:t>
            </w:r>
          </w:p>
        </w:tc>
        <w:tc>
          <w:tcPr>
            <w:tcW w:w="1189" w:type="dxa"/>
            <w:vAlign w:val="center"/>
          </w:tcPr>
          <w:p w14:paraId="6C7026E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32CQ-15</w:t>
            </w:r>
          </w:p>
        </w:tc>
        <w:tc>
          <w:tcPr>
            <w:tcW w:w="667" w:type="dxa"/>
            <w:vAlign w:val="center"/>
          </w:tcPr>
          <w:p w14:paraId="33702A4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3DC1AC9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螯合剂加药泵</w:t>
            </w:r>
          </w:p>
        </w:tc>
        <w:tc>
          <w:tcPr>
            <w:tcW w:w="1039" w:type="dxa"/>
            <w:vAlign w:val="center"/>
          </w:tcPr>
          <w:p w14:paraId="6302BEF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32CQ-15</w:t>
            </w:r>
          </w:p>
        </w:tc>
        <w:tc>
          <w:tcPr>
            <w:tcW w:w="570" w:type="dxa"/>
            <w:vAlign w:val="center"/>
          </w:tcPr>
          <w:p w14:paraId="1CEF6D54">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6CF48A9A">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5A7B8E0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3BCA1771">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23</w:t>
            </w:r>
          </w:p>
        </w:tc>
        <w:tc>
          <w:tcPr>
            <w:tcW w:w="1698" w:type="dxa"/>
            <w:vAlign w:val="center"/>
          </w:tcPr>
          <w:p w14:paraId="6BFBCE2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螯合剂稀释液前端输送泵</w:t>
            </w:r>
          </w:p>
        </w:tc>
        <w:tc>
          <w:tcPr>
            <w:tcW w:w="1189" w:type="dxa"/>
            <w:vAlign w:val="center"/>
          </w:tcPr>
          <w:p w14:paraId="15228E2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ISW40-100(I)</w:t>
            </w:r>
          </w:p>
        </w:tc>
        <w:tc>
          <w:tcPr>
            <w:tcW w:w="667" w:type="dxa"/>
            <w:vAlign w:val="center"/>
          </w:tcPr>
          <w:p w14:paraId="3095131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55E9FFD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螯合剂稀释液前端输送泵</w:t>
            </w:r>
          </w:p>
        </w:tc>
        <w:tc>
          <w:tcPr>
            <w:tcW w:w="1039" w:type="dxa"/>
            <w:vAlign w:val="center"/>
          </w:tcPr>
          <w:p w14:paraId="72EF4BE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ISW40-100(I)</w:t>
            </w:r>
          </w:p>
        </w:tc>
        <w:tc>
          <w:tcPr>
            <w:tcW w:w="570" w:type="dxa"/>
            <w:vAlign w:val="center"/>
          </w:tcPr>
          <w:p w14:paraId="0BFC6C9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59CFB095">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141D3C2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273C4246">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24</w:t>
            </w:r>
          </w:p>
        </w:tc>
        <w:tc>
          <w:tcPr>
            <w:tcW w:w="1698" w:type="dxa"/>
            <w:vAlign w:val="center"/>
          </w:tcPr>
          <w:p w14:paraId="4EA66D0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螯合剂原液接收泵</w:t>
            </w:r>
          </w:p>
        </w:tc>
        <w:tc>
          <w:tcPr>
            <w:tcW w:w="1189" w:type="dxa"/>
            <w:vAlign w:val="center"/>
          </w:tcPr>
          <w:p w14:paraId="2773E63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40ZX6.3-20</w:t>
            </w:r>
          </w:p>
        </w:tc>
        <w:tc>
          <w:tcPr>
            <w:tcW w:w="667" w:type="dxa"/>
            <w:vAlign w:val="center"/>
          </w:tcPr>
          <w:p w14:paraId="6A87019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27A26ED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螯合剂原液接收泵</w:t>
            </w:r>
          </w:p>
        </w:tc>
        <w:tc>
          <w:tcPr>
            <w:tcW w:w="1039" w:type="dxa"/>
            <w:vAlign w:val="center"/>
          </w:tcPr>
          <w:p w14:paraId="21C61DE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40ZX6.3-20</w:t>
            </w:r>
          </w:p>
        </w:tc>
        <w:tc>
          <w:tcPr>
            <w:tcW w:w="570" w:type="dxa"/>
            <w:vAlign w:val="center"/>
          </w:tcPr>
          <w:p w14:paraId="5D58B33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48892D32">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8ACB27A">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21A9BF3B">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25</w:t>
            </w:r>
          </w:p>
        </w:tc>
        <w:tc>
          <w:tcPr>
            <w:tcW w:w="1698" w:type="dxa"/>
            <w:vAlign w:val="center"/>
          </w:tcPr>
          <w:p w14:paraId="1DB5CA9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螯合剂原液储存罐</w:t>
            </w:r>
          </w:p>
        </w:tc>
        <w:tc>
          <w:tcPr>
            <w:tcW w:w="1189" w:type="dxa"/>
            <w:vAlign w:val="center"/>
          </w:tcPr>
          <w:p w14:paraId="6BA9C99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4m3</w:t>
            </w:r>
          </w:p>
        </w:tc>
        <w:tc>
          <w:tcPr>
            <w:tcW w:w="667" w:type="dxa"/>
            <w:vAlign w:val="center"/>
          </w:tcPr>
          <w:p w14:paraId="58F3F0D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20AE466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螯合剂原液储存罐</w:t>
            </w:r>
          </w:p>
        </w:tc>
        <w:tc>
          <w:tcPr>
            <w:tcW w:w="1039" w:type="dxa"/>
            <w:vAlign w:val="center"/>
          </w:tcPr>
          <w:p w14:paraId="29479B4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4m3</w:t>
            </w:r>
          </w:p>
        </w:tc>
        <w:tc>
          <w:tcPr>
            <w:tcW w:w="570" w:type="dxa"/>
            <w:vAlign w:val="center"/>
          </w:tcPr>
          <w:p w14:paraId="65773BF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4F1A57CB">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1B5D16D4">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304BD72">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26</w:t>
            </w:r>
          </w:p>
        </w:tc>
        <w:tc>
          <w:tcPr>
            <w:tcW w:w="1698" w:type="dxa"/>
            <w:vAlign w:val="center"/>
          </w:tcPr>
          <w:p w14:paraId="789A516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螯合剂稀释液储存罐</w:t>
            </w:r>
          </w:p>
        </w:tc>
        <w:tc>
          <w:tcPr>
            <w:tcW w:w="1189" w:type="dxa"/>
            <w:vAlign w:val="center"/>
          </w:tcPr>
          <w:p w14:paraId="2A6C942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4m3</w:t>
            </w:r>
          </w:p>
        </w:tc>
        <w:tc>
          <w:tcPr>
            <w:tcW w:w="667" w:type="dxa"/>
            <w:vAlign w:val="center"/>
          </w:tcPr>
          <w:p w14:paraId="59CFDE9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45251F2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螯合剂稀释液储存罐</w:t>
            </w:r>
          </w:p>
        </w:tc>
        <w:tc>
          <w:tcPr>
            <w:tcW w:w="1039" w:type="dxa"/>
            <w:vAlign w:val="center"/>
          </w:tcPr>
          <w:p w14:paraId="3DEF142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4m3</w:t>
            </w:r>
          </w:p>
        </w:tc>
        <w:tc>
          <w:tcPr>
            <w:tcW w:w="570" w:type="dxa"/>
            <w:vAlign w:val="center"/>
          </w:tcPr>
          <w:p w14:paraId="070AEE7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495CF1B0">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1261BA9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3972B90C">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27</w:t>
            </w:r>
          </w:p>
        </w:tc>
        <w:tc>
          <w:tcPr>
            <w:tcW w:w="1698" w:type="dxa"/>
            <w:vAlign w:val="center"/>
          </w:tcPr>
          <w:p w14:paraId="2986FB5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螯合剂稀释液末端输送泵</w:t>
            </w:r>
          </w:p>
        </w:tc>
        <w:tc>
          <w:tcPr>
            <w:tcW w:w="1189" w:type="dxa"/>
            <w:vAlign w:val="center"/>
          </w:tcPr>
          <w:p w14:paraId="4D1B472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ISW40-160(I)</w:t>
            </w:r>
          </w:p>
        </w:tc>
        <w:tc>
          <w:tcPr>
            <w:tcW w:w="667" w:type="dxa"/>
            <w:vAlign w:val="center"/>
          </w:tcPr>
          <w:p w14:paraId="28F98D77">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927" w:type="dxa"/>
            <w:vAlign w:val="center"/>
          </w:tcPr>
          <w:p w14:paraId="11440FE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螯合剂稀释液末端输送泵</w:t>
            </w:r>
          </w:p>
        </w:tc>
        <w:tc>
          <w:tcPr>
            <w:tcW w:w="1039" w:type="dxa"/>
            <w:vAlign w:val="center"/>
          </w:tcPr>
          <w:p w14:paraId="5028532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ISW40-160(I)</w:t>
            </w:r>
          </w:p>
        </w:tc>
        <w:tc>
          <w:tcPr>
            <w:tcW w:w="570" w:type="dxa"/>
            <w:vAlign w:val="center"/>
          </w:tcPr>
          <w:p w14:paraId="66732136">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653" w:type="dxa"/>
            <w:tcBorders>
              <w:right w:val="nil"/>
            </w:tcBorders>
            <w:vAlign w:val="center"/>
          </w:tcPr>
          <w:p w14:paraId="0B2E5190">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55136D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2E148167">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28</w:t>
            </w:r>
          </w:p>
        </w:tc>
        <w:tc>
          <w:tcPr>
            <w:tcW w:w="1698" w:type="dxa"/>
            <w:vAlign w:val="center"/>
          </w:tcPr>
          <w:p w14:paraId="7F77F78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螯合剂计量罐</w:t>
            </w:r>
          </w:p>
        </w:tc>
        <w:tc>
          <w:tcPr>
            <w:tcW w:w="1189" w:type="dxa"/>
            <w:vAlign w:val="center"/>
          </w:tcPr>
          <w:p w14:paraId="108937B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0.8m3</w:t>
            </w:r>
          </w:p>
        </w:tc>
        <w:tc>
          <w:tcPr>
            <w:tcW w:w="667" w:type="dxa"/>
            <w:vAlign w:val="center"/>
          </w:tcPr>
          <w:p w14:paraId="5D12180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5E64C59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螯合剂计量罐</w:t>
            </w:r>
          </w:p>
        </w:tc>
        <w:tc>
          <w:tcPr>
            <w:tcW w:w="1039" w:type="dxa"/>
            <w:vAlign w:val="center"/>
          </w:tcPr>
          <w:p w14:paraId="49B442A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0.8m3</w:t>
            </w:r>
          </w:p>
        </w:tc>
        <w:tc>
          <w:tcPr>
            <w:tcW w:w="570" w:type="dxa"/>
            <w:vAlign w:val="center"/>
          </w:tcPr>
          <w:p w14:paraId="0C1A6174">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4D6AB50A">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E08D737">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10B58812">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29</w:t>
            </w:r>
          </w:p>
        </w:tc>
        <w:tc>
          <w:tcPr>
            <w:tcW w:w="1698" w:type="dxa"/>
            <w:vAlign w:val="center"/>
          </w:tcPr>
          <w:p w14:paraId="0917060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螯合剂计量罐气动蝶阀</w:t>
            </w:r>
          </w:p>
        </w:tc>
        <w:tc>
          <w:tcPr>
            <w:tcW w:w="1189" w:type="dxa"/>
            <w:vAlign w:val="center"/>
          </w:tcPr>
          <w:p w14:paraId="19EAE4D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DN65</w:t>
            </w:r>
          </w:p>
        </w:tc>
        <w:tc>
          <w:tcPr>
            <w:tcW w:w="667" w:type="dxa"/>
            <w:vAlign w:val="center"/>
          </w:tcPr>
          <w:p w14:paraId="762056A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6D075B2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螯合剂计量罐气动蝶阀</w:t>
            </w:r>
          </w:p>
        </w:tc>
        <w:tc>
          <w:tcPr>
            <w:tcW w:w="1039" w:type="dxa"/>
            <w:vAlign w:val="center"/>
          </w:tcPr>
          <w:p w14:paraId="53CDBB4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DN65</w:t>
            </w:r>
          </w:p>
        </w:tc>
        <w:tc>
          <w:tcPr>
            <w:tcW w:w="570" w:type="dxa"/>
            <w:vAlign w:val="center"/>
          </w:tcPr>
          <w:p w14:paraId="6E01D7E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20EFD30E">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D2E30D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3E2A9919">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30</w:t>
            </w:r>
          </w:p>
        </w:tc>
        <w:tc>
          <w:tcPr>
            <w:tcW w:w="1698" w:type="dxa"/>
            <w:vAlign w:val="center"/>
          </w:tcPr>
          <w:p w14:paraId="08943D0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加压泵</w:t>
            </w:r>
          </w:p>
        </w:tc>
        <w:tc>
          <w:tcPr>
            <w:tcW w:w="1189" w:type="dxa"/>
            <w:vAlign w:val="center"/>
          </w:tcPr>
          <w:p w14:paraId="7371263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ISG65-100</w:t>
            </w:r>
          </w:p>
        </w:tc>
        <w:tc>
          <w:tcPr>
            <w:tcW w:w="667" w:type="dxa"/>
            <w:vAlign w:val="center"/>
          </w:tcPr>
          <w:p w14:paraId="6230C3D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3EDDAA7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加压泵</w:t>
            </w:r>
          </w:p>
        </w:tc>
        <w:tc>
          <w:tcPr>
            <w:tcW w:w="1039" w:type="dxa"/>
            <w:vAlign w:val="center"/>
          </w:tcPr>
          <w:p w14:paraId="14C20E6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ISG65-100</w:t>
            </w:r>
          </w:p>
        </w:tc>
        <w:tc>
          <w:tcPr>
            <w:tcW w:w="570" w:type="dxa"/>
            <w:vAlign w:val="center"/>
          </w:tcPr>
          <w:p w14:paraId="78D2035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0B599FD2">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0FE2B12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71B96DAC">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31</w:t>
            </w:r>
          </w:p>
        </w:tc>
        <w:tc>
          <w:tcPr>
            <w:tcW w:w="1698" w:type="dxa"/>
            <w:vAlign w:val="center"/>
          </w:tcPr>
          <w:p w14:paraId="2F0E231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输送管道</w:t>
            </w:r>
          </w:p>
        </w:tc>
        <w:tc>
          <w:tcPr>
            <w:tcW w:w="1189" w:type="dxa"/>
            <w:vAlign w:val="center"/>
          </w:tcPr>
          <w:p w14:paraId="72E431B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配套</w:t>
            </w:r>
          </w:p>
        </w:tc>
        <w:tc>
          <w:tcPr>
            <w:tcW w:w="667" w:type="dxa"/>
            <w:vAlign w:val="center"/>
          </w:tcPr>
          <w:p w14:paraId="6E9D162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43F5088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输送管道</w:t>
            </w:r>
          </w:p>
        </w:tc>
        <w:tc>
          <w:tcPr>
            <w:tcW w:w="1039" w:type="dxa"/>
            <w:vAlign w:val="center"/>
          </w:tcPr>
          <w:p w14:paraId="790AB76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配套</w:t>
            </w:r>
          </w:p>
        </w:tc>
        <w:tc>
          <w:tcPr>
            <w:tcW w:w="570" w:type="dxa"/>
            <w:vAlign w:val="center"/>
          </w:tcPr>
          <w:p w14:paraId="42CD3D5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5C232869">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00A5864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37FD42C9">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32</w:t>
            </w:r>
          </w:p>
        </w:tc>
        <w:tc>
          <w:tcPr>
            <w:tcW w:w="1698" w:type="dxa"/>
            <w:vAlign w:val="center"/>
          </w:tcPr>
          <w:p w14:paraId="3D83E67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储水罐</w:t>
            </w:r>
          </w:p>
        </w:tc>
        <w:tc>
          <w:tcPr>
            <w:tcW w:w="1189" w:type="dxa"/>
            <w:vAlign w:val="center"/>
          </w:tcPr>
          <w:p w14:paraId="020C87C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8m3</w:t>
            </w:r>
          </w:p>
        </w:tc>
        <w:tc>
          <w:tcPr>
            <w:tcW w:w="667" w:type="dxa"/>
            <w:vAlign w:val="center"/>
          </w:tcPr>
          <w:p w14:paraId="1ED17BD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0D137C4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储水罐</w:t>
            </w:r>
          </w:p>
        </w:tc>
        <w:tc>
          <w:tcPr>
            <w:tcW w:w="1039" w:type="dxa"/>
            <w:vAlign w:val="center"/>
          </w:tcPr>
          <w:p w14:paraId="64ACB00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8m3</w:t>
            </w:r>
          </w:p>
        </w:tc>
        <w:tc>
          <w:tcPr>
            <w:tcW w:w="570" w:type="dxa"/>
            <w:vAlign w:val="center"/>
          </w:tcPr>
          <w:p w14:paraId="4566A27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0CB3EF67">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069B9E80">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3C2A5032">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33</w:t>
            </w:r>
          </w:p>
        </w:tc>
        <w:tc>
          <w:tcPr>
            <w:tcW w:w="1698" w:type="dxa"/>
            <w:vAlign w:val="center"/>
          </w:tcPr>
          <w:p w14:paraId="013E90F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清水泵</w:t>
            </w:r>
          </w:p>
        </w:tc>
        <w:tc>
          <w:tcPr>
            <w:tcW w:w="1189" w:type="dxa"/>
            <w:vAlign w:val="center"/>
          </w:tcPr>
          <w:p w14:paraId="7228E21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ISW50-160(I)</w:t>
            </w:r>
          </w:p>
        </w:tc>
        <w:tc>
          <w:tcPr>
            <w:tcW w:w="667" w:type="dxa"/>
            <w:vAlign w:val="center"/>
          </w:tcPr>
          <w:p w14:paraId="53ADD22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22A5DEA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清水泵</w:t>
            </w:r>
          </w:p>
        </w:tc>
        <w:tc>
          <w:tcPr>
            <w:tcW w:w="1039" w:type="dxa"/>
            <w:vAlign w:val="center"/>
          </w:tcPr>
          <w:p w14:paraId="786A711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ISW50-160(I)</w:t>
            </w:r>
          </w:p>
        </w:tc>
        <w:tc>
          <w:tcPr>
            <w:tcW w:w="570" w:type="dxa"/>
            <w:vAlign w:val="center"/>
          </w:tcPr>
          <w:p w14:paraId="3B7386C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63E9294D">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415817DA">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2AC530E1">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34</w:t>
            </w:r>
          </w:p>
        </w:tc>
        <w:tc>
          <w:tcPr>
            <w:tcW w:w="1698" w:type="dxa"/>
            <w:vAlign w:val="center"/>
          </w:tcPr>
          <w:p w14:paraId="7B027AE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潜水泵</w:t>
            </w:r>
          </w:p>
        </w:tc>
        <w:tc>
          <w:tcPr>
            <w:tcW w:w="1189" w:type="dxa"/>
            <w:vAlign w:val="center"/>
          </w:tcPr>
          <w:p w14:paraId="32A845B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40WQKP15-30-2.2</w:t>
            </w:r>
          </w:p>
        </w:tc>
        <w:tc>
          <w:tcPr>
            <w:tcW w:w="667" w:type="dxa"/>
            <w:vAlign w:val="center"/>
          </w:tcPr>
          <w:p w14:paraId="19C4B54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5ABB104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潜水泵</w:t>
            </w:r>
          </w:p>
        </w:tc>
        <w:tc>
          <w:tcPr>
            <w:tcW w:w="1039" w:type="dxa"/>
            <w:vAlign w:val="center"/>
          </w:tcPr>
          <w:p w14:paraId="1EAE356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40WQKP15-30-2.2</w:t>
            </w:r>
          </w:p>
        </w:tc>
        <w:tc>
          <w:tcPr>
            <w:tcW w:w="570" w:type="dxa"/>
            <w:vAlign w:val="center"/>
          </w:tcPr>
          <w:p w14:paraId="1A13B7E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0605B1D6">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789707BB">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3472BC6C">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35</w:t>
            </w:r>
          </w:p>
        </w:tc>
        <w:tc>
          <w:tcPr>
            <w:tcW w:w="1698" w:type="dxa"/>
            <w:vAlign w:val="center"/>
          </w:tcPr>
          <w:p w14:paraId="08E7B91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高压清洗泵</w:t>
            </w:r>
          </w:p>
        </w:tc>
        <w:tc>
          <w:tcPr>
            <w:tcW w:w="1189" w:type="dxa"/>
            <w:vAlign w:val="center"/>
          </w:tcPr>
          <w:p w14:paraId="00C2030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PX-58A</w:t>
            </w:r>
          </w:p>
        </w:tc>
        <w:tc>
          <w:tcPr>
            <w:tcW w:w="667" w:type="dxa"/>
            <w:vAlign w:val="center"/>
          </w:tcPr>
          <w:p w14:paraId="3878660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733131A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高压清洗泵</w:t>
            </w:r>
          </w:p>
        </w:tc>
        <w:tc>
          <w:tcPr>
            <w:tcW w:w="1039" w:type="dxa"/>
            <w:vAlign w:val="center"/>
          </w:tcPr>
          <w:p w14:paraId="5A67167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PX-58A</w:t>
            </w:r>
          </w:p>
        </w:tc>
        <w:tc>
          <w:tcPr>
            <w:tcW w:w="570" w:type="dxa"/>
            <w:vAlign w:val="center"/>
          </w:tcPr>
          <w:p w14:paraId="0B7B683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012485E0">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1932117">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272F1636">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36</w:t>
            </w:r>
          </w:p>
        </w:tc>
        <w:tc>
          <w:tcPr>
            <w:tcW w:w="1698" w:type="dxa"/>
            <w:vAlign w:val="center"/>
          </w:tcPr>
          <w:p w14:paraId="0C0E3D2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输送管道</w:t>
            </w:r>
          </w:p>
        </w:tc>
        <w:tc>
          <w:tcPr>
            <w:tcW w:w="1189" w:type="dxa"/>
            <w:vAlign w:val="center"/>
          </w:tcPr>
          <w:p w14:paraId="53D5B7B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w:t>
            </w:r>
          </w:p>
        </w:tc>
        <w:tc>
          <w:tcPr>
            <w:tcW w:w="667" w:type="dxa"/>
            <w:vAlign w:val="center"/>
          </w:tcPr>
          <w:p w14:paraId="3AAC437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4125CC2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输送管道</w:t>
            </w:r>
          </w:p>
        </w:tc>
        <w:tc>
          <w:tcPr>
            <w:tcW w:w="1039" w:type="dxa"/>
            <w:vAlign w:val="center"/>
          </w:tcPr>
          <w:p w14:paraId="3F7BA2D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w:t>
            </w:r>
          </w:p>
        </w:tc>
        <w:tc>
          <w:tcPr>
            <w:tcW w:w="570" w:type="dxa"/>
            <w:vAlign w:val="center"/>
          </w:tcPr>
          <w:p w14:paraId="716AE6E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13924FD1">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8E833A3">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0968F146">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37</w:t>
            </w:r>
          </w:p>
        </w:tc>
        <w:tc>
          <w:tcPr>
            <w:tcW w:w="1698" w:type="dxa"/>
            <w:vAlign w:val="center"/>
          </w:tcPr>
          <w:p w14:paraId="5FCDA2F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双轴搅拌机</w:t>
            </w:r>
          </w:p>
        </w:tc>
        <w:tc>
          <w:tcPr>
            <w:tcW w:w="1189" w:type="dxa"/>
            <w:vAlign w:val="center"/>
          </w:tcPr>
          <w:p w14:paraId="7F6698C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MAO3750/2500</w:t>
            </w:r>
          </w:p>
        </w:tc>
        <w:tc>
          <w:tcPr>
            <w:tcW w:w="667" w:type="dxa"/>
            <w:vAlign w:val="center"/>
          </w:tcPr>
          <w:p w14:paraId="33F27B0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65A0EF5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双轴搅拌机</w:t>
            </w:r>
          </w:p>
        </w:tc>
        <w:tc>
          <w:tcPr>
            <w:tcW w:w="1039" w:type="dxa"/>
            <w:vAlign w:val="center"/>
          </w:tcPr>
          <w:p w14:paraId="476E010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MAO3750/2500</w:t>
            </w:r>
          </w:p>
        </w:tc>
        <w:tc>
          <w:tcPr>
            <w:tcW w:w="570" w:type="dxa"/>
            <w:vAlign w:val="center"/>
          </w:tcPr>
          <w:p w14:paraId="67EE0F4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1C8CB600">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4D194B16">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85E4FCE">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38</w:t>
            </w:r>
          </w:p>
        </w:tc>
        <w:tc>
          <w:tcPr>
            <w:tcW w:w="1698" w:type="dxa"/>
            <w:vAlign w:val="center"/>
          </w:tcPr>
          <w:p w14:paraId="105A6E3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脉冲除尘器</w:t>
            </w:r>
          </w:p>
        </w:tc>
        <w:tc>
          <w:tcPr>
            <w:tcW w:w="1189" w:type="dxa"/>
            <w:vAlign w:val="center"/>
          </w:tcPr>
          <w:p w14:paraId="1C225F6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DMC24</w:t>
            </w:r>
          </w:p>
        </w:tc>
        <w:tc>
          <w:tcPr>
            <w:tcW w:w="667" w:type="dxa"/>
            <w:vAlign w:val="center"/>
          </w:tcPr>
          <w:p w14:paraId="4467E4F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16DAA68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脉冲除尘器</w:t>
            </w:r>
          </w:p>
        </w:tc>
        <w:tc>
          <w:tcPr>
            <w:tcW w:w="1039" w:type="dxa"/>
            <w:vAlign w:val="center"/>
          </w:tcPr>
          <w:p w14:paraId="1C0E9DD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DMC24</w:t>
            </w:r>
          </w:p>
        </w:tc>
        <w:tc>
          <w:tcPr>
            <w:tcW w:w="570" w:type="dxa"/>
            <w:vAlign w:val="center"/>
          </w:tcPr>
          <w:p w14:paraId="34DCAA5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63C6239D">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685D7DE7">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427EE114">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39</w:t>
            </w:r>
          </w:p>
        </w:tc>
        <w:tc>
          <w:tcPr>
            <w:tcW w:w="1698" w:type="dxa"/>
            <w:vAlign w:val="center"/>
          </w:tcPr>
          <w:p w14:paraId="025AF4A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吨袋包装机</w:t>
            </w:r>
          </w:p>
        </w:tc>
        <w:tc>
          <w:tcPr>
            <w:tcW w:w="1189" w:type="dxa"/>
            <w:vAlign w:val="center"/>
          </w:tcPr>
          <w:p w14:paraId="1D6D7E2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DB-1</w:t>
            </w:r>
          </w:p>
        </w:tc>
        <w:tc>
          <w:tcPr>
            <w:tcW w:w="667" w:type="dxa"/>
            <w:vAlign w:val="center"/>
          </w:tcPr>
          <w:p w14:paraId="5137142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627F802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吨袋包装机</w:t>
            </w:r>
          </w:p>
        </w:tc>
        <w:tc>
          <w:tcPr>
            <w:tcW w:w="1039" w:type="dxa"/>
            <w:vAlign w:val="center"/>
          </w:tcPr>
          <w:p w14:paraId="5E44B99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DB-1</w:t>
            </w:r>
          </w:p>
        </w:tc>
        <w:tc>
          <w:tcPr>
            <w:tcW w:w="570" w:type="dxa"/>
            <w:vAlign w:val="center"/>
          </w:tcPr>
          <w:p w14:paraId="23FA486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64C47AF2">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728F050">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5739B482">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40</w:t>
            </w:r>
          </w:p>
        </w:tc>
        <w:tc>
          <w:tcPr>
            <w:tcW w:w="1698" w:type="dxa"/>
            <w:vAlign w:val="center"/>
          </w:tcPr>
          <w:p w14:paraId="2F4A8FD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PLC柜</w:t>
            </w:r>
          </w:p>
        </w:tc>
        <w:tc>
          <w:tcPr>
            <w:tcW w:w="1189" w:type="dxa"/>
            <w:vAlign w:val="center"/>
          </w:tcPr>
          <w:p w14:paraId="769CA79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2200x800x600</w:t>
            </w:r>
          </w:p>
        </w:tc>
        <w:tc>
          <w:tcPr>
            <w:tcW w:w="667" w:type="dxa"/>
            <w:vAlign w:val="center"/>
          </w:tcPr>
          <w:p w14:paraId="32E38AD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448AC5B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PLC柜</w:t>
            </w:r>
          </w:p>
        </w:tc>
        <w:tc>
          <w:tcPr>
            <w:tcW w:w="1039" w:type="dxa"/>
            <w:vAlign w:val="center"/>
          </w:tcPr>
          <w:p w14:paraId="13D7E3E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2200x800x600</w:t>
            </w:r>
          </w:p>
        </w:tc>
        <w:tc>
          <w:tcPr>
            <w:tcW w:w="570" w:type="dxa"/>
            <w:vAlign w:val="center"/>
          </w:tcPr>
          <w:p w14:paraId="3075541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0BE36153">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C3CA1D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C3297E1">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41</w:t>
            </w:r>
          </w:p>
        </w:tc>
        <w:tc>
          <w:tcPr>
            <w:tcW w:w="1698" w:type="dxa"/>
            <w:vAlign w:val="center"/>
          </w:tcPr>
          <w:p w14:paraId="15A3D38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MCC柜</w:t>
            </w:r>
          </w:p>
        </w:tc>
        <w:tc>
          <w:tcPr>
            <w:tcW w:w="1189" w:type="dxa"/>
            <w:vAlign w:val="center"/>
          </w:tcPr>
          <w:p w14:paraId="0ADAE05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2200x800x600</w:t>
            </w:r>
          </w:p>
        </w:tc>
        <w:tc>
          <w:tcPr>
            <w:tcW w:w="667" w:type="dxa"/>
            <w:vAlign w:val="center"/>
          </w:tcPr>
          <w:p w14:paraId="51CDE50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4E6648C4">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MCC柜</w:t>
            </w:r>
          </w:p>
        </w:tc>
        <w:tc>
          <w:tcPr>
            <w:tcW w:w="1039" w:type="dxa"/>
            <w:vAlign w:val="center"/>
          </w:tcPr>
          <w:p w14:paraId="7406382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2200x800x600</w:t>
            </w:r>
          </w:p>
        </w:tc>
        <w:tc>
          <w:tcPr>
            <w:tcW w:w="570" w:type="dxa"/>
            <w:vAlign w:val="center"/>
          </w:tcPr>
          <w:p w14:paraId="49AEDE8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0E9E896B">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606C0C7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7A64197E">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42</w:t>
            </w:r>
          </w:p>
        </w:tc>
        <w:tc>
          <w:tcPr>
            <w:tcW w:w="1698" w:type="dxa"/>
            <w:vAlign w:val="center"/>
          </w:tcPr>
          <w:p w14:paraId="012928C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上位机、显示器</w:t>
            </w:r>
          </w:p>
        </w:tc>
        <w:tc>
          <w:tcPr>
            <w:tcW w:w="1189" w:type="dxa"/>
            <w:vAlign w:val="center"/>
          </w:tcPr>
          <w:p w14:paraId="0B7A9B5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硬盘容量500G</w:t>
            </w:r>
          </w:p>
        </w:tc>
        <w:tc>
          <w:tcPr>
            <w:tcW w:w="667" w:type="dxa"/>
            <w:vAlign w:val="center"/>
          </w:tcPr>
          <w:p w14:paraId="60F4253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232EC80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上位机、显示器</w:t>
            </w:r>
          </w:p>
        </w:tc>
        <w:tc>
          <w:tcPr>
            <w:tcW w:w="1039" w:type="dxa"/>
            <w:vAlign w:val="center"/>
          </w:tcPr>
          <w:p w14:paraId="209C1A2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硬盘容量500G</w:t>
            </w:r>
          </w:p>
        </w:tc>
        <w:tc>
          <w:tcPr>
            <w:tcW w:w="570" w:type="dxa"/>
            <w:vAlign w:val="center"/>
          </w:tcPr>
          <w:p w14:paraId="5B8EE51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4F39C211">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4A9F1107">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01DFE67E">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43</w:t>
            </w:r>
          </w:p>
        </w:tc>
        <w:tc>
          <w:tcPr>
            <w:tcW w:w="1698" w:type="dxa"/>
            <w:vAlign w:val="center"/>
          </w:tcPr>
          <w:p w14:paraId="7187E2A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激光打印机</w:t>
            </w:r>
          </w:p>
        </w:tc>
        <w:tc>
          <w:tcPr>
            <w:tcW w:w="1189" w:type="dxa"/>
            <w:vAlign w:val="center"/>
          </w:tcPr>
          <w:p w14:paraId="4743E1A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A4</w:t>
            </w:r>
          </w:p>
        </w:tc>
        <w:tc>
          <w:tcPr>
            <w:tcW w:w="667" w:type="dxa"/>
            <w:vAlign w:val="center"/>
          </w:tcPr>
          <w:p w14:paraId="49E6CCC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39261B3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激光打印机</w:t>
            </w:r>
          </w:p>
        </w:tc>
        <w:tc>
          <w:tcPr>
            <w:tcW w:w="1039" w:type="dxa"/>
            <w:vAlign w:val="center"/>
          </w:tcPr>
          <w:p w14:paraId="4A029F8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A4</w:t>
            </w:r>
          </w:p>
        </w:tc>
        <w:tc>
          <w:tcPr>
            <w:tcW w:w="570" w:type="dxa"/>
            <w:vAlign w:val="center"/>
          </w:tcPr>
          <w:p w14:paraId="15AF9CE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51E16D60">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01781E5">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7B14B186">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44</w:t>
            </w:r>
          </w:p>
        </w:tc>
        <w:tc>
          <w:tcPr>
            <w:tcW w:w="1698" w:type="dxa"/>
            <w:vAlign w:val="center"/>
          </w:tcPr>
          <w:p w14:paraId="169CFEB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现场控制箱</w:t>
            </w:r>
          </w:p>
        </w:tc>
        <w:tc>
          <w:tcPr>
            <w:tcW w:w="1189" w:type="dxa"/>
            <w:vAlign w:val="center"/>
          </w:tcPr>
          <w:p w14:paraId="22EA8F6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800x600x250</w:t>
            </w:r>
          </w:p>
        </w:tc>
        <w:tc>
          <w:tcPr>
            <w:tcW w:w="667" w:type="dxa"/>
            <w:vAlign w:val="center"/>
          </w:tcPr>
          <w:p w14:paraId="105ECFC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6FFCBB6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现场控制箱</w:t>
            </w:r>
          </w:p>
        </w:tc>
        <w:tc>
          <w:tcPr>
            <w:tcW w:w="1039" w:type="dxa"/>
            <w:vAlign w:val="center"/>
          </w:tcPr>
          <w:p w14:paraId="1F5B779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800x600x250</w:t>
            </w:r>
          </w:p>
        </w:tc>
        <w:tc>
          <w:tcPr>
            <w:tcW w:w="570" w:type="dxa"/>
            <w:vAlign w:val="center"/>
          </w:tcPr>
          <w:p w14:paraId="78238A6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5F193C47">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08745E0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7B7F0421">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45</w:t>
            </w:r>
          </w:p>
        </w:tc>
        <w:tc>
          <w:tcPr>
            <w:tcW w:w="1698" w:type="dxa"/>
            <w:vAlign w:val="center"/>
          </w:tcPr>
          <w:p w14:paraId="287F9A6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现场检修箱</w:t>
            </w:r>
          </w:p>
        </w:tc>
        <w:tc>
          <w:tcPr>
            <w:tcW w:w="1189" w:type="dxa"/>
            <w:vAlign w:val="center"/>
          </w:tcPr>
          <w:p w14:paraId="2E2564D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600x400x250</w:t>
            </w:r>
          </w:p>
        </w:tc>
        <w:tc>
          <w:tcPr>
            <w:tcW w:w="667" w:type="dxa"/>
            <w:vAlign w:val="center"/>
          </w:tcPr>
          <w:p w14:paraId="73B0E0C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3165DD5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现场检修箱</w:t>
            </w:r>
          </w:p>
        </w:tc>
        <w:tc>
          <w:tcPr>
            <w:tcW w:w="1039" w:type="dxa"/>
            <w:vAlign w:val="center"/>
          </w:tcPr>
          <w:p w14:paraId="1AB26A2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600x400x250</w:t>
            </w:r>
          </w:p>
        </w:tc>
        <w:tc>
          <w:tcPr>
            <w:tcW w:w="570" w:type="dxa"/>
            <w:vAlign w:val="center"/>
          </w:tcPr>
          <w:p w14:paraId="40A3A8B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5C0195AD">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6375F4E0">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5979253F">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46</w:t>
            </w:r>
          </w:p>
        </w:tc>
        <w:tc>
          <w:tcPr>
            <w:tcW w:w="1698" w:type="dxa"/>
            <w:vAlign w:val="center"/>
          </w:tcPr>
          <w:p w14:paraId="1186727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灰库重锤料位器</w:t>
            </w:r>
          </w:p>
        </w:tc>
        <w:tc>
          <w:tcPr>
            <w:tcW w:w="1189" w:type="dxa"/>
            <w:vAlign w:val="center"/>
          </w:tcPr>
          <w:p w14:paraId="020B1DC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ULZC-2A102</w:t>
            </w:r>
          </w:p>
        </w:tc>
        <w:tc>
          <w:tcPr>
            <w:tcW w:w="667" w:type="dxa"/>
            <w:vAlign w:val="center"/>
          </w:tcPr>
          <w:p w14:paraId="164C5CC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7C3C528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灰库重锤料位器</w:t>
            </w:r>
          </w:p>
        </w:tc>
        <w:tc>
          <w:tcPr>
            <w:tcW w:w="1039" w:type="dxa"/>
            <w:vAlign w:val="center"/>
          </w:tcPr>
          <w:p w14:paraId="6CF6ECA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ULZC-2A102</w:t>
            </w:r>
          </w:p>
        </w:tc>
        <w:tc>
          <w:tcPr>
            <w:tcW w:w="570" w:type="dxa"/>
            <w:vAlign w:val="center"/>
          </w:tcPr>
          <w:p w14:paraId="14458944">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32D3BCD6">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4DAF391A">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1F8523B8">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47</w:t>
            </w:r>
          </w:p>
        </w:tc>
        <w:tc>
          <w:tcPr>
            <w:tcW w:w="1698" w:type="dxa"/>
            <w:vAlign w:val="center"/>
          </w:tcPr>
          <w:p w14:paraId="311E7FD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磁翻板液位计1</w:t>
            </w:r>
          </w:p>
        </w:tc>
        <w:tc>
          <w:tcPr>
            <w:tcW w:w="1189" w:type="dxa"/>
            <w:vAlign w:val="center"/>
          </w:tcPr>
          <w:p w14:paraId="49D9A92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L=2000</w:t>
            </w:r>
          </w:p>
        </w:tc>
        <w:tc>
          <w:tcPr>
            <w:tcW w:w="667" w:type="dxa"/>
            <w:vAlign w:val="center"/>
          </w:tcPr>
          <w:p w14:paraId="35875EE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6D0E696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磁翻板液位计1</w:t>
            </w:r>
          </w:p>
        </w:tc>
        <w:tc>
          <w:tcPr>
            <w:tcW w:w="1039" w:type="dxa"/>
            <w:vAlign w:val="center"/>
          </w:tcPr>
          <w:p w14:paraId="05458FC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L=2000</w:t>
            </w:r>
          </w:p>
        </w:tc>
        <w:tc>
          <w:tcPr>
            <w:tcW w:w="570" w:type="dxa"/>
            <w:vAlign w:val="center"/>
          </w:tcPr>
          <w:p w14:paraId="717E9D8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27CC36E0">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52C853A">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0457553F">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48</w:t>
            </w:r>
          </w:p>
        </w:tc>
        <w:tc>
          <w:tcPr>
            <w:tcW w:w="1698" w:type="dxa"/>
            <w:vAlign w:val="center"/>
          </w:tcPr>
          <w:p w14:paraId="483C1DC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磁翻板液位计2</w:t>
            </w:r>
          </w:p>
        </w:tc>
        <w:tc>
          <w:tcPr>
            <w:tcW w:w="1189" w:type="dxa"/>
            <w:vAlign w:val="center"/>
          </w:tcPr>
          <w:p w14:paraId="27433FF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L=1700</w:t>
            </w:r>
          </w:p>
        </w:tc>
        <w:tc>
          <w:tcPr>
            <w:tcW w:w="667" w:type="dxa"/>
            <w:vAlign w:val="center"/>
          </w:tcPr>
          <w:p w14:paraId="2EEE1696">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927" w:type="dxa"/>
            <w:vAlign w:val="center"/>
          </w:tcPr>
          <w:p w14:paraId="6DCD5E7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磁翻板液位计2</w:t>
            </w:r>
          </w:p>
        </w:tc>
        <w:tc>
          <w:tcPr>
            <w:tcW w:w="1039" w:type="dxa"/>
            <w:vAlign w:val="center"/>
          </w:tcPr>
          <w:p w14:paraId="5C1EE08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L=1700</w:t>
            </w:r>
          </w:p>
        </w:tc>
        <w:tc>
          <w:tcPr>
            <w:tcW w:w="570" w:type="dxa"/>
            <w:vAlign w:val="center"/>
          </w:tcPr>
          <w:p w14:paraId="732E77AD">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653" w:type="dxa"/>
            <w:tcBorders>
              <w:right w:val="nil"/>
            </w:tcBorders>
            <w:vAlign w:val="center"/>
          </w:tcPr>
          <w:p w14:paraId="5E3A49A5">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6E6E20F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395F332">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49</w:t>
            </w:r>
          </w:p>
        </w:tc>
        <w:tc>
          <w:tcPr>
            <w:tcW w:w="1698" w:type="dxa"/>
            <w:vAlign w:val="center"/>
          </w:tcPr>
          <w:p w14:paraId="775C428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飞灰仓计量传感器</w:t>
            </w:r>
          </w:p>
        </w:tc>
        <w:tc>
          <w:tcPr>
            <w:tcW w:w="1189" w:type="dxa"/>
            <w:vAlign w:val="center"/>
          </w:tcPr>
          <w:p w14:paraId="53A687B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SB1t</w:t>
            </w:r>
          </w:p>
        </w:tc>
        <w:tc>
          <w:tcPr>
            <w:tcW w:w="667" w:type="dxa"/>
            <w:vAlign w:val="center"/>
          </w:tcPr>
          <w:p w14:paraId="0CE30D3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5ABDC96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飞灰仓计量传感器</w:t>
            </w:r>
          </w:p>
        </w:tc>
        <w:tc>
          <w:tcPr>
            <w:tcW w:w="1039" w:type="dxa"/>
            <w:vAlign w:val="center"/>
          </w:tcPr>
          <w:p w14:paraId="3BB50C2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SB1t</w:t>
            </w:r>
          </w:p>
        </w:tc>
        <w:tc>
          <w:tcPr>
            <w:tcW w:w="570" w:type="dxa"/>
            <w:vAlign w:val="center"/>
          </w:tcPr>
          <w:p w14:paraId="52DC3AC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1AC36559">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AB99FFF">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517B061F">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50</w:t>
            </w:r>
          </w:p>
        </w:tc>
        <w:tc>
          <w:tcPr>
            <w:tcW w:w="1698" w:type="dxa"/>
            <w:vAlign w:val="center"/>
          </w:tcPr>
          <w:p w14:paraId="31C51BC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水螯合剂计量斗传感器</w:t>
            </w:r>
          </w:p>
        </w:tc>
        <w:tc>
          <w:tcPr>
            <w:tcW w:w="1189" w:type="dxa"/>
            <w:vAlign w:val="center"/>
          </w:tcPr>
          <w:p w14:paraId="01BEA62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TSB2t</w:t>
            </w:r>
          </w:p>
        </w:tc>
        <w:tc>
          <w:tcPr>
            <w:tcW w:w="667" w:type="dxa"/>
            <w:vAlign w:val="center"/>
          </w:tcPr>
          <w:p w14:paraId="15A1E06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46DBCB0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水螯合剂计量斗传感器</w:t>
            </w:r>
          </w:p>
        </w:tc>
        <w:tc>
          <w:tcPr>
            <w:tcW w:w="1039" w:type="dxa"/>
            <w:vAlign w:val="center"/>
          </w:tcPr>
          <w:p w14:paraId="4BE7C88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TSB2t</w:t>
            </w:r>
          </w:p>
        </w:tc>
        <w:tc>
          <w:tcPr>
            <w:tcW w:w="570" w:type="dxa"/>
            <w:vAlign w:val="center"/>
          </w:tcPr>
          <w:p w14:paraId="353A3F0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78998872">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0344ED7">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BA60386">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51</w:t>
            </w:r>
          </w:p>
        </w:tc>
        <w:tc>
          <w:tcPr>
            <w:tcW w:w="1698" w:type="dxa"/>
            <w:vAlign w:val="center"/>
          </w:tcPr>
          <w:p w14:paraId="12FF634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混合槽称重平台</w:t>
            </w:r>
          </w:p>
        </w:tc>
        <w:tc>
          <w:tcPr>
            <w:tcW w:w="1189" w:type="dxa"/>
            <w:vAlign w:val="center"/>
          </w:tcPr>
          <w:p w14:paraId="3B346F1F">
            <w:pPr>
              <w:pStyle w:val="23"/>
              <w:bidi w:val="0"/>
              <w:rPr>
                <w:rFonts w:hint="default" w:ascii="Times New Roman" w:hAnsi="Times New Roman" w:cs="Times New Roman"/>
                <w:color w:val="auto"/>
              </w:rPr>
            </w:pPr>
            <w:r>
              <w:rPr>
                <w:rFonts w:hint="default" w:ascii="Times New Roman" w:hAnsi="Times New Roman" w:cs="Times New Roman"/>
                <w:color w:val="auto"/>
              </w:rPr>
              <w:t>4t</w:t>
            </w:r>
          </w:p>
          <w:p w14:paraId="4648405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1500x1500</w:t>
            </w:r>
          </w:p>
        </w:tc>
        <w:tc>
          <w:tcPr>
            <w:tcW w:w="667" w:type="dxa"/>
            <w:vAlign w:val="center"/>
          </w:tcPr>
          <w:p w14:paraId="78D874F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6ABE2F5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混合槽称重平台</w:t>
            </w:r>
          </w:p>
        </w:tc>
        <w:tc>
          <w:tcPr>
            <w:tcW w:w="1039" w:type="dxa"/>
            <w:vAlign w:val="center"/>
          </w:tcPr>
          <w:p w14:paraId="5C9C3595">
            <w:pPr>
              <w:pStyle w:val="23"/>
              <w:bidi w:val="0"/>
              <w:rPr>
                <w:rFonts w:hint="default" w:ascii="Times New Roman" w:hAnsi="Times New Roman" w:cs="Times New Roman"/>
                <w:color w:val="auto"/>
              </w:rPr>
            </w:pPr>
            <w:r>
              <w:rPr>
                <w:rFonts w:hint="default" w:ascii="Times New Roman" w:hAnsi="Times New Roman" w:cs="Times New Roman"/>
                <w:color w:val="auto"/>
              </w:rPr>
              <w:t>4t</w:t>
            </w:r>
          </w:p>
          <w:p w14:paraId="4780FC3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1500x1500</w:t>
            </w:r>
          </w:p>
        </w:tc>
        <w:tc>
          <w:tcPr>
            <w:tcW w:w="570" w:type="dxa"/>
            <w:vAlign w:val="center"/>
          </w:tcPr>
          <w:p w14:paraId="2AD48D4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6ECA2C48">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77AE772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7162232D">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52</w:t>
            </w:r>
          </w:p>
        </w:tc>
        <w:tc>
          <w:tcPr>
            <w:tcW w:w="1698" w:type="dxa"/>
            <w:vAlign w:val="center"/>
          </w:tcPr>
          <w:p w14:paraId="15245CA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浮球液位计</w:t>
            </w:r>
          </w:p>
        </w:tc>
        <w:tc>
          <w:tcPr>
            <w:tcW w:w="1189" w:type="dxa"/>
            <w:vAlign w:val="center"/>
          </w:tcPr>
          <w:p w14:paraId="0313E0C3">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667" w:type="dxa"/>
            <w:vAlign w:val="center"/>
          </w:tcPr>
          <w:p w14:paraId="3E160FDB">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1927" w:type="dxa"/>
            <w:vAlign w:val="center"/>
          </w:tcPr>
          <w:p w14:paraId="1069CB7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浮球液位计</w:t>
            </w:r>
          </w:p>
        </w:tc>
        <w:tc>
          <w:tcPr>
            <w:tcW w:w="1039" w:type="dxa"/>
            <w:vAlign w:val="center"/>
          </w:tcPr>
          <w:p w14:paraId="38DA8D51">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570" w:type="dxa"/>
            <w:vAlign w:val="center"/>
          </w:tcPr>
          <w:p w14:paraId="410387F5">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1653" w:type="dxa"/>
            <w:tcBorders>
              <w:right w:val="nil"/>
            </w:tcBorders>
            <w:vAlign w:val="center"/>
          </w:tcPr>
          <w:p w14:paraId="5C72F32C">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D2404D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04831A40">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53</w:t>
            </w:r>
          </w:p>
        </w:tc>
        <w:tc>
          <w:tcPr>
            <w:tcW w:w="1698" w:type="dxa"/>
            <w:vAlign w:val="center"/>
          </w:tcPr>
          <w:p w14:paraId="3D51F33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加水电磁阀</w:t>
            </w:r>
          </w:p>
        </w:tc>
        <w:tc>
          <w:tcPr>
            <w:tcW w:w="1189" w:type="dxa"/>
            <w:vAlign w:val="center"/>
          </w:tcPr>
          <w:p w14:paraId="26E8472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w:t>
            </w:r>
          </w:p>
        </w:tc>
        <w:tc>
          <w:tcPr>
            <w:tcW w:w="667" w:type="dxa"/>
            <w:vAlign w:val="center"/>
          </w:tcPr>
          <w:p w14:paraId="1F8B100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1F93185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加水电磁阀</w:t>
            </w:r>
          </w:p>
        </w:tc>
        <w:tc>
          <w:tcPr>
            <w:tcW w:w="1039" w:type="dxa"/>
            <w:vAlign w:val="center"/>
          </w:tcPr>
          <w:p w14:paraId="044BF894">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w:t>
            </w:r>
          </w:p>
        </w:tc>
        <w:tc>
          <w:tcPr>
            <w:tcW w:w="570" w:type="dxa"/>
            <w:vAlign w:val="center"/>
          </w:tcPr>
          <w:p w14:paraId="565F7654">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624D0AFB">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11A68703">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032E7222">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54</w:t>
            </w:r>
          </w:p>
        </w:tc>
        <w:tc>
          <w:tcPr>
            <w:tcW w:w="1698" w:type="dxa"/>
            <w:vAlign w:val="center"/>
          </w:tcPr>
          <w:p w14:paraId="0A79C57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水箱自动补水阀门</w:t>
            </w:r>
          </w:p>
        </w:tc>
        <w:tc>
          <w:tcPr>
            <w:tcW w:w="1189" w:type="dxa"/>
            <w:vAlign w:val="center"/>
          </w:tcPr>
          <w:p w14:paraId="4D7D658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w:t>
            </w:r>
          </w:p>
        </w:tc>
        <w:tc>
          <w:tcPr>
            <w:tcW w:w="667" w:type="dxa"/>
            <w:vAlign w:val="center"/>
          </w:tcPr>
          <w:p w14:paraId="4A0950A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13D6F75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水箱自动补水阀门</w:t>
            </w:r>
          </w:p>
        </w:tc>
        <w:tc>
          <w:tcPr>
            <w:tcW w:w="1039" w:type="dxa"/>
            <w:vAlign w:val="center"/>
          </w:tcPr>
          <w:p w14:paraId="2D2D72A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w:t>
            </w:r>
          </w:p>
        </w:tc>
        <w:tc>
          <w:tcPr>
            <w:tcW w:w="570" w:type="dxa"/>
            <w:vAlign w:val="center"/>
          </w:tcPr>
          <w:p w14:paraId="2FE057C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60DC334E">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DFF8E40">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1A741598">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55</w:t>
            </w:r>
          </w:p>
        </w:tc>
        <w:tc>
          <w:tcPr>
            <w:tcW w:w="1698" w:type="dxa"/>
            <w:vAlign w:val="center"/>
          </w:tcPr>
          <w:p w14:paraId="78C6D47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压缩空气电磁阀</w:t>
            </w:r>
          </w:p>
        </w:tc>
        <w:tc>
          <w:tcPr>
            <w:tcW w:w="1189" w:type="dxa"/>
            <w:vAlign w:val="center"/>
          </w:tcPr>
          <w:p w14:paraId="34600B5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DN25</w:t>
            </w:r>
          </w:p>
        </w:tc>
        <w:tc>
          <w:tcPr>
            <w:tcW w:w="667" w:type="dxa"/>
            <w:vAlign w:val="center"/>
          </w:tcPr>
          <w:p w14:paraId="14935C6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927" w:type="dxa"/>
            <w:vAlign w:val="center"/>
          </w:tcPr>
          <w:p w14:paraId="647915C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压缩空气电磁阀</w:t>
            </w:r>
          </w:p>
        </w:tc>
        <w:tc>
          <w:tcPr>
            <w:tcW w:w="1039" w:type="dxa"/>
            <w:vAlign w:val="center"/>
          </w:tcPr>
          <w:p w14:paraId="3B68745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DN25</w:t>
            </w:r>
          </w:p>
        </w:tc>
        <w:tc>
          <w:tcPr>
            <w:tcW w:w="570" w:type="dxa"/>
            <w:vAlign w:val="center"/>
          </w:tcPr>
          <w:p w14:paraId="0059AA41">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3CEE10F2">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5A13B72B">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3B15EB9">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56</w:t>
            </w:r>
          </w:p>
        </w:tc>
        <w:tc>
          <w:tcPr>
            <w:tcW w:w="1698" w:type="dxa"/>
            <w:vAlign w:val="center"/>
          </w:tcPr>
          <w:p w14:paraId="3DBDB04B">
            <w:pPr>
              <w:pStyle w:val="23"/>
              <w:bidi w:val="0"/>
              <w:rPr>
                <w:rFonts w:hint="default" w:ascii="Times New Roman" w:hAnsi="Times New Roman" w:cs="Times New Roman"/>
                <w:color w:val="auto"/>
              </w:rPr>
            </w:pPr>
            <w:r>
              <w:rPr>
                <w:rFonts w:hint="default" w:ascii="Times New Roman" w:hAnsi="Times New Roman" w:cs="Times New Roman"/>
                <w:color w:val="auto"/>
              </w:rPr>
              <w:t>水箱自动补水阀门</w:t>
            </w:r>
          </w:p>
        </w:tc>
        <w:tc>
          <w:tcPr>
            <w:tcW w:w="1189" w:type="dxa"/>
            <w:vAlign w:val="center"/>
          </w:tcPr>
          <w:p w14:paraId="41666605">
            <w:pPr>
              <w:pStyle w:val="23"/>
              <w:bidi w:val="0"/>
              <w:rPr>
                <w:rFonts w:hint="default" w:ascii="Times New Roman" w:hAnsi="Times New Roman" w:cs="Times New Roman"/>
                <w:color w:val="auto"/>
              </w:rPr>
            </w:pPr>
            <w:r>
              <w:rPr>
                <w:rFonts w:hint="default" w:ascii="Times New Roman" w:hAnsi="Times New Roman" w:cs="Times New Roman"/>
                <w:color w:val="auto"/>
              </w:rPr>
              <w:t>DN40</w:t>
            </w:r>
          </w:p>
        </w:tc>
        <w:tc>
          <w:tcPr>
            <w:tcW w:w="667" w:type="dxa"/>
            <w:vAlign w:val="center"/>
          </w:tcPr>
          <w:p w14:paraId="2790B3B9">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3B1D8BB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水箱自动补水阀门</w:t>
            </w:r>
          </w:p>
        </w:tc>
        <w:tc>
          <w:tcPr>
            <w:tcW w:w="1039" w:type="dxa"/>
            <w:vAlign w:val="center"/>
          </w:tcPr>
          <w:p w14:paraId="5F0AAC8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DN40</w:t>
            </w:r>
          </w:p>
        </w:tc>
        <w:tc>
          <w:tcPr>
            <w:tcW w:w="570" w:type="dxa"/>
            <w:vAlign w:val="center"/>
          </w:tcPr>
          <w:p w14:paraId="632CB0F8">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448104F3">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9CABD5F">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914DE2B">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57</w:t>
            </w:r>
          </w:p>
        </w:tc>
        <w:tc>
          <w:tcPr>
            <w:tcW w:w="1698" w:type="dxa"/>
            <w:vAlign w:val="center"/>
          </w:tcPr>
          <w:p w14:paraId="4710BC1A">
            <w:pPr>
              <w:pStyle w:val="23"/>
              <w:bidi w:val="0"/>
              <w:rPr>
                <w:rFonts w:hint="default" w:ascii="Times New Roman" w:hAnsi="Times New Roman" w:cs="Times New Roman"/>
                <w:color w:val="auto"/>
              </w:rPr>
            </w:pPr>
            <w:r>
              <w:rPr>
                <w:rFonts w:hint="default" w:ascii="Times New Roman" w:hAnsi="Times New Roman" w:cs="Times New Roman"/>
                <w:color w:val="auto"/>
              </w:rPr>
              <w:t>压缩空气电磁阀</w:t>
            </w:r>
          </w:p>
        </w:tc>
        <w:tc>
          <w:tcPr>
            <w:tcW w:w="1189" w:type="dxa"/>
            <w:vAlign w:val="center"/>
          </w:tcPr>
          <w:p w14:paraId="3073224E">
            <w:pPr>
              <w:pStyle w:val="23"/>
              <w:bidi w:val="0"/>
              <w:rPr>
                <w:rFonts w:hint="default" w:ascii="Times New Roman" w:hAnsi="Times New Roman" w:cs="Times New Roman"/>
                <w:color w:val="auto"/>
              </w:rPr>
            </w:pPr>
            <w:r>
              <w:rPr>
                <w:rFonts w:hint="default" w:ascii="Times New Roman" w:hAnsi="Times New Roman" w:cs="Times New Roman"/>
                <w:color w:val="auto"/>
              </w:rPr>
              <w:t>DN25</w:t>
            </w:r>
          </w:p>
        </w:tc>
        <w:tc>
          <w:tcPr>
            <w:tcW w:w="667" w:type="dxa"/>
            <w:vAlign w:val="center"/>
          </w:tcPr>
          <w:p w14:paraId="581AADAD">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1B73095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压缩空气电磁阀</w:t>
            </w:r>
          </w:p>
        </w:tc>
        <w:tc>
          <w:tcPr>
            <w:tcW w:w="1039" w:type="dxa"/>
            <w:vAlign w:val="center"/>
          </w:tcPr>
          <w:p w14:paraId="2CDE821D">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DN25</w:t>
            </w:r>
          </w:p>
        </w:tc>
        <w:tc>
          <w:tcPr>
            <w:tcW w:w="570" w:type="dxa"/>
            <w:vAlign w:val="center"/>
          </w:tcPr>
          <w:p w14:paraId="60C9C55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1523A0B0">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5A71F5E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44C2F403">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58</w:t>
            </w:r>
          </w:p>
        </w:tc>
        <w:tc>
          <w:tcPr>
            <w:tcW w:w="1698" w:type="dxa"/>
            <w:vAlign w:val="center"/>
          </w:tcPr>
          <w:p w14:paraId="7B41CC5D">
            <w:pPr>
              <w:pStyle w:val="23"/>
              <w:bidi w:val="0"/>
              <w:rPr>
                <w:rFonts w:hint="default" w:ascii="Times New Roman" w:hAnsi="Times New Roman" w:cs="Times New Roman"/>
                <w:color w:val="auto"/>
              </w:rPr>
            </w:pPr>
            <w:r>
              <w:rPr>
                <w:rFonts w:hint="default" w:ascii="Times New Roman" w:hAnsi="Times New Roman" w:cs="Times New Roman"/>
                <w:color w:val="auto"/>
              </w:rPr>
              <w:t>吨袋提升支架</w:t>
            </w:r>
          </w:p>
        </w:tc>
        <w:tc>
          <w:tcPr>
            <w:tcW w:w="1189" w:type="dxa"/>
            <w:vAlign w:val="center"/>
          </w:tcPr>
          <w:p w14:paraId="338E45DB">
            <w:pPr>
              <w:pStyle w:val="23"/>
              <w:bidi w:val="0"/>
              <w:rPr>
                <w:rFonts w:hint="default" w:ascii="Times New Roman" w:hAnsi="Times New Roman" w:cs="Times New Roman"/>
                <w:color w:val="auto"/>
              </w:rPr>
            </w:pPr>
            <w:r>
              <w:rPr>
                <w:rFonts w:hint="default" w:ascii="Times New Roman" w:hAnsi="Times New Roman" w:cs="Times New Roman"/>
                <w:color w:val="auto"/>
              </w:rPr>
              <w:t>配套</w:t>
            </w:r>
          </w:p>
        </w:tc>
        <w:tc>
          <w:tcPr>
            <w:tcW w:w="667" w:type="dxa"/>
            <w:vAlign w:val="center"/>
          </w:tcPr>
          <w:p w14:paraId="685A7A9D">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4EE49C6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吨袋提升支架</w:t>
            </w:r>
          </w:p>
        </w:tc>
        <w:tc>
          <w:tcPr>
            <w:tcW w:w="1039" w:type="dxa"/>
            <w:vAlign w:val="center"/>
          </w:tcPr>
          <w:p w14:paraId="4241C74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配套</w:t>
            </w:r>
          </w:p>
        </w:tc>
        <w:tc>
          <w:tcPr>
            <w:tcW w:w="570" w:type="dxa"/>
            <w:vAlign w:val="center"/>
          </w:tcPr>
          <w:p w14:paraId="1C30A26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53097F15">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401AC88A">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58F5E194">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59</w:t>
            </w:r>
          </w:p>
        </w:tc>
        <w:tc>
          <w:tcPr>
            <w:tcW w:w="1698" w:type="dxa"/>
            <w:vAlign w:val="center"/>
          </w:tcPr>
          <w:p w14:paraId="73A7E297">
            <w:pPr>
              <w:pStyle w:val="23"/>
              <w:bidi w:val="0"/>
              <w:rPr>
                <w:rFonts w:hint="default" w:ascii="Times New Roman" w:hAnsi="Times New Roman" w:cs="Times New Roman"/>
                <w:color w:val="auto"/>
              </w:rPr>
            </w:pPr>
            <w:r>
              <w:rPr>
                <w:rFonts w:hint="default" w:ascii="Times New Roman" w:hAnsi="Times New Roman" w:cs="Times New Roman"/>
                <w:color w:val="auto"/>
              </w:rPr>
              <w:t>电动葫芦</w:t>
            </w:r>
          </w:p>
        </w:tc>
        <w:tc>
          <w:tcPr>
            <w:tcW w:w="1189" w:type="dxa"/>
            <w:vAlign w:val="center"/>
          </w:tcPr>
          <w:p w14:paraId="34A1BAB6">
            <w:pPr>
              <w:pStyle w:val="23"/>
              <w:bidi w:val="0"/>
              <w:rPr>
                <w:rFonts w:hint="default" w:ascii="Times New Roman" w:hAnsi="Times New Roman" w:cs="Times New Roman"/>
                <w:color w:val="auto"/>
              </w:rPr>
            </w:pPr>
            <w:r>
              <w:rPr>
                <w:rFonts w:hint="default" w:ascii="Times New Roman" w:hAnsi="Times New Roman" w:cs="Times New Roman"/>
                <w:color w:val="auto"/>
              </w:rPr>
              <w:t>2t</w:t>
            </w:r>
          </w:p>
        </w:tc>
        <w:tc>
          <w:tcPr>
            <w:tcW w:w="667" w:type="dxa"/>
            <w:vAlign w:val="center"/>
          </w:tcPr>
          <w:p w14:paraId="644AF4AD">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125E8A4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电动葫芦</w:t>
            </w:r>
          </w:p>
        </w:tc>
        <w:tc>
          <w:tcPr>
            <w:tcW w:w="1039" w:type="dxa"/>
            <w:vAlign w:val="center"/>
          </w:tcPr>
          <w:p w14:paraId="6CBDAB4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2t</w:t>
            </w:r>
          </w:p>
        </w:tc>
        <w:tc>
          <w:tcPr>
            <w:tcW w:w="570" w:type="dxa"/>
            <w:vAlign w:val="center"/>
          </w:tcPr>
          <w:p w14:paraId="7E96796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544696AB">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C028C2B">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7D0866BE">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60</w:t>
            </w:r>
          </w:p>
        </w:tc>
        <w:tc>
          <w:tcPr>
            <w:tcW w:w="1698" w:type="dxa"/>
            <w:vAlign w:val="center"/>
          </w:tcPr>
          <w:p w14:paraId="04721DCA">
            <w:pPr>
              <w:pStyle w:val="23"/>
              <w:bidi w:val="0"/>
              <w:rPr>
                <w:rFonts w:hint="default" w:ascii="Times New Roman" w:hAnsi="Times New Roman" w:cs="Times New Roman"/>
                <w:color w:val="auto"/>
              </w:rPr>
            </w:pPr>
            <w:r>
              <w:rPr>
                <w:rFonts w:hint="default" w:ascii="Times New Roman" w:hAnsi="Times New Roman" w:cs="Times New Roman"/>
                <w:color w:val="auto"/>
              </w:rPr>
              <w:t>自动破袋料斗</w:t>
            </w:r>
          </w:p>
        </w:tc>
        <w:tc>
          <w:tcPr>
            <w:tcW w:w="1189" w:type="dxa"/>
            <w:vAlign w:val="center"/>
          </w:tcPr>
          <w:p w14:paraId="45718B16">
            <w:pPr>
              <w:pStyle w:val="23"/>
              <w:bidi w:val="0"/>
              <w:rPr>
                <w:rFonts w:hint="default" w:ascii="Times New Roman" w:hAnsi="Times New Roman" w:cs="Times New Roman"/>
                <w:color w:val="auto"/>
              </w:rPr>
            </w:pPr>
            <w:r>
              <w:rPr>
                <w:rFonts w:hint="default" w:ascii="Times New Roman" w:hAnsi="Times New Roman" w:cs="Times New Roman"/>
                <w:color w:val="auto"/>
              </w:rPr>
              <w:t>1200x1200</w:t>
            </w:r>
          </w:p>
        </w:tc>
        <w:tc>
          <w:tcPr>
            <w:tcW w:w="667" w:type="dxa"/>
            <w:vAlign w:val="center"/>
          </w:tcPr>
          <w:p w14:paraId="54BE9EFB">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2F77562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自动破袋料斗</w:t>
            </w:r>
          </w:p>
        </w:tc>
        <w:tc>
          <w:tcPr>
            <w:tcW w:w="1039" w:type="dxa"/>
            <w:vAlign w:val="center"/>
          </w:tcPr>
          <w:p w14:paraId="20FA4FC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1200x1200</w:t>
            </w:r>
          </w:p>
        </w:tc>
        <w:tc>
          <w:tcPr>
            <w:tcW w:w="570" w:type="dxa"/>
            <w:vAlign w:val="center"/>
          </w:tcPr>
          <w:p w14:paraId="420C728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1B48CB88">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07E78A6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3FD6E780">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61</w:t>
            </w:r>
          </w:p>
        </w:tc>
        <w:tc>
          <w:tcPr>
            <w:tcW w:w="1698" w:type="dxa"/>
            <w:vAlign w:val="center"/>
          </w:tcPr>
          <w:p w14:paraId="4D4451D9">
            <w:pPr>
              <w:pStyle w:val="23"/>
              <w:bidi w:val="0"/>
              <w:rPr>
                <w:rFonts w:hint="default" w:ascii="Times New Roman" w:hAnsi="Times New Roman" w:cs="Times New Roman"/>
                <w:color w:val="auto"/>
              </w:rPr>
            </w:pPr>
            <w:r>
              <w:rPr>
                <w:rFonts w:hint="default" w:ascii="Times New Roman" w:hAnsi="Times New Roman" w:cs="Times New Roman"/>
                <w:color w:val="auto"/>
              </w:rPr>
              <w:t>破碎机</w:t>
            </w:r>
          </w:p>
        </w:tc>
        <w:tc>
          <w:tcPr>
            <w:tcW w:w="1189" w:type="dxa"/>
            <w:vAlign w:val="center"/>
          </w:tcPr>
          <w:p w14:paraId="0F1580E3">
            <w:pPr>
              <w:pStyle w:val="23"/>
              <w:bidi w:val="0"/>
              <w:rPr>
                <w:rFonts w:hint="default" w:ascii="Times New Roman" w:hAnsi="Times New Roman" w:cs="Times New Roman"/>
                <w:color w:val="auto"/>
              </w:rPr>
            </w:pPr>
            <w:r>
              <w:rPr>
                <w:rFonts w:hint="default" w:ascii="Times New Roman" w:hAnsi="Times New Roman" w:cs="Times New Roman"/>
                <w:color w:val="auto"/>
              </w:rPr>
              <w:t>600x600</w:t>
            </w:r>
          </w:p>
        </w:tc>
        <w:tc>
          <w:tcPr>
            <w:tcW w:w="667" w:type="dxa"/>
            <w:vAlign w:val="center"/>
          </w:tcPr>
          <w:p w14:paraId="32B0B007">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3A45A6B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破碎机</w:t>
            </w:r>
          </w:p>
        </w:tc>
        <w:tc>
          <w:tcPr>
            <w:tcW w:w="1039" w:type="dxa"/>
            <w:vAlign w:val="center"/>
          </w:tcPr>
          <w:p w14:paraId="79DD4D1F">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600x600</w:t>
            </w:r>
          </w:p>
        </w:tc>
        <w:tc>
          <w:tcPr>
            <w:tcW w:w="570" w:type="dxa"/>
            <w:vAlign w:val="center"/>
          </w:tcPr>
          <w:p w14:paraId="71C658B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69243BE1">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360B71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0450AD8F">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62</w:t>
            </w:r>
          </w:p>
        </w:tc>
        <w:tc>
          <w:tcPr>
            <w:tcW w:w="1698" w:type="dxa"/>
            <w:vAlign w:val="center"/>
          </w:tcPr>
          <w:p w14:paraId="2FA4F7D6">
            <w:pPr>
              <w:pStyle w:val="23"/>
              <w:bidi w:val="0"/>
              <w:rPr>
                <w:rFonts w:hint="default" w:ascii="Times New Roman" w:hAnsi="Times New Roman" w:cs="Times New Roman"/>
                <w:color w:val="auto"/>
              </w:rPr>
            </w:pPr>
            <w:r>
              <w:rPr>
                <w:rFonts w:hint="default" w:ascii="Times New Roman" w:hAnsi="Times New Roman" w:cs="Times New Roman"/>
                <w:color w:val="auto"/>
              </w:rPr>
              <w:t>导料溜槽</w:t>
            </w:r>
          </w:p>
        </w:tc>
        <w:tc>
          <w:tcPr>
            <w:tcW w:w="1189" w:type="dxa"/>
            <w:vAlign w:val="center"/>
          </w:tcPr>
          <w:p w14:paraId="752D57ED">
            <w:pPr>
              <w:pStyle w:val="23"/>
              <w:bidi w:val="0"/>
              <w:rPr>
                <w:rFonts w:hint="default" w:ascii="Times New Roman" w:hAnsi="Times New Roman" w:cs="Times New Roman"/>
                <w:color w:val="auto"/>
              </w:rPr>
            </w:pPr>
            <w:r>
              <w:rPr>
                <w:rFonts w:hint="default" w:ascii="Times New Roman" w:hAnsi="Times New Roman" w:cs="Times New Roman"/>
                <w:color w:val="auto"/>
              </w:rPr>
              <w:t>配套</w:t>
            </w:r>
          </w:p>
        </w:tc>
        <w:tc>
          <w:tcPr>
            <w:tcW w:w="667" w:type="dxa"/>
            <w:vAlign w:val="center"/>
          </w:tcPr>
          <w:p w14:paraId="36577B26">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073F715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导料溜槽</w:t>
            </w:r>
          </w:p>
        </w:tc>
        <w:tc>
          <w:tcPr>
            <w:tcW w:w="1039" w:type="dxa"/>
            <w:vAlign w:val="center"/>
          </w:tcPr>
          <w:p w14:paraId="6862022C">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配套</w:t>
            </w:r>
          </w:p>
        </w:tc>
        <w:tc>
          <w:tcPr>
            <w:tcW w:w="570" w:type="dxa"/>
            <w:vAlign w:val="center"/>
          </w:tcPr>
          <w:p w14:paraId="7C0C77A2">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5F9A9E81">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24CEC8B6">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57250BB7">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63</w:t>
            </w:r>
          </w:p>
        </w:tc>
        <w:tc>
          <w:tcPr>
            <w:tcW w:w="1698" w:type="dxa"/>
            <w:vAlign w:val="center"/>
          </w:tcPr>
          <w:p w14:paraId="0F4E75CA">
            <w:pPr>
              <w:pStyle w:val="23"/>
              <w:bidi w:val="0"/>
              <w:rPr>
                <w:rFonts w:hint="default" w:ascii="Times New Roman" w:hAnsi="Times New Roman" w:cs="Times New Roman"/>
                <w:color w:val="auto"/>
              </w:rPr>
            </w:pPr>
            <w:r>
              <w:rPr>
                <w:rFonts w:hint="default" w:ascii="Times New Roman" w:hAnsi="Times New Roman" w:cs="Times New Roman"/>
                <w:color w:val="auto"/>
              </w:rPr>
              <w:t>气动插板阀</w:t>
            </w:r>
          </w:p>
        </w:tc>
        <w:tc>
          <w:tcPr>
            <w:tcW w:w="1189" w:type="dxa"/>
            <w:vAlign w:val="center"/>
          </w:tcPr>
          <w:p w14:paraId="54033821">
            <w:pPr>
              <w:pStyle w:val="23"/>
              <w:bidi w:val="0"/>
              <w:rPr>
                <w:rFonts w:hint="default" w:ascii="Times New Roman" w:hAnsi="Times New Roman" w:cs="Times New Roman"/>
                <w:color w:val="auto"/>
              </w:rPr>
            </w:pPr>
            <w:r>
              <w:rPr>
                <w:rFonts w:hint="default" w:ascii="Times New Roman" w:hAnsi="Times New Roman" w:cs="Times New Roman"/>
                <w:color w:val="auto"/>
              </w:rPr>
              <w:t>500x500</w:t>
            </w:r>
          </w:p>
        </w:tc>
        <w:tc>
          <w:tcPr>
            <w:tcW w:w="667" w:type="dxa"/>
            <w:vAlign w:val="center"/>
          </w:tcPr>
          <w:p w14:paraId="5D65E2BE">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7353AD6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气动插板阀</w:t>
            </w:r>
          </w:p>
        </w:tc>
        <w:tc>
          <w:tcPr>
            <w:tcW w:w="1039" w:type="dxa"/>
            <w:vAlign w:val="center"/>
          </w:tcPr>
          <w:p w14:paraId="255F9804">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500x500</w:t>
            </w:r>
          </w:p>
        </w:tc>
        <w:tc>
          <w:tcPr>
            <w:tcW w:w="570" w:type="dxa"/>
            <w:vAlign w:val="center"/>
          </w:tcPr>
          <w:p w14:paraId="50AE5B4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1DFF85FD">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51D1F1F1">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6F0C0EC1">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64</w:t>
            </w:r>
          </w:p>
        </w:tc>
        <w:tc>
          <w:tcPr>
            <w:tcW w:w="1698" w:type="dxa"/>
            <w:vAlign w:val="center"/>
          </w:tcPr>
          <w:p w14:paraId="7DA0E359">
            <w:pPr>
              <w:pStyle w:val="23"/>
              <w:bidi w:val="0"/>
              <w:rPr>
                <w:rFonts w:hint="default" w:ascii="Times New Roman" w:hAnsi="Times New Roman" w:cs="Times New Roman"/>
                <w:color w:val="auto"/>
              </w:rPr>
            </w:pPr>
            <w:r>
              <w:rPr>
                <w:rFonts w:hint="default" w:ascii="Times New Roman" w:hAnsi="Times New Roman" w:cs="Times New Roman"/>
                <w:color w:val="auto"/>
              </w:rPr>
              <w:t>布袋软连接</w:t>
            </w:r>
          </w:p>
        </w:tc>
        <w:tc>
          <w:tcPr>
            <w:tcW w:w="1189" w:type="dxa"/>
            <w:vAlign w:val="center"/>
          </w:tcPr>
          <w:p w14:paraId="117D23E4">
            <w:pPr>
              <w:pStyle w:val="23"/>
              <w:bidi w:val="0"/>
              <w:rPr>
                <w:rFonts w:hint="default" w:ascii="Times New Roman" w:hAnsi="Times New Roman" w:cs="Times New Roman"/>
                <w:color w:val="auto"/>
              </w:rPr>
            </w:pPr>
            <w:r>
              <w:rPr>
                <w:rFonts w:hint="default" w:ascii="Times New Roman" w:hAnsi="Times New Roman" w:cs="Times New Roman"/>
                <w:color w:val="auto"/>
              </w:rPr>
              <w:t>500x500</w:t>
            </w:r>
          </w:p>
        </w:tc>
        <w:tc>
          <w:tcPr>
            <w:tcW w:w="667" w:type="dxa"/>
            <w:vAlign w:val="center"/>
          </w:tcPr>
          <w:p w14:paraId="368D88B6">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2E3E055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布袋软连接</w:t>
            </w:r>
          </w:p>
        </w:tc>
        <w:tc>
          <w:tcPr>
            <w:tcW w:w="1039" w:type="dxa"/>
            <w:vAlign w:val="center"/>
          </w:tcPr>
          <w:p w14:paraId="50CDF8F0">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500x500</w:t>
            </w:r>
          </w:p>
        </w:tc>
        <w:tc>
          <w:tcPr>
            <w:tcW w:w="570" w:type="dxa"/>
            <w:vAlign w:val="center"/>
          </w:tcPr>
          <w:p w14:paraId="3A26D309">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62EF8414">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r w14:paraId="39C021E5">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328" w:type="dxa"/>
            <w:tcBorders>
              <w:left w:val="nil"/>
            </w:tcBorders>
            <w:vAlign w:val="center"/>
          </w:tcPr>
          <w:p w14:paraId="4DADF1DD">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65</w:t>
            </w:r>
          </w:p>
        </w:tc>
        <w:tc>
          <w:tcPr>
            <w:tcW w:w="1698" w:type="dxa"/>
            <w:vAlign w:val="center"/>
          </w:tcPr>
          <w:p w14:paraId="1D8FD177">
            <w:pPr>
              <w:pStyle w:val="23"/>
              <w:bidi w:val="0"/>
              <w:rPr>
                <w:rFonts w:hint="default" w:ascii="Times New Roman" w:hAnsi="Times New Roman" w:cs="Times New Roman"/>
                <w:color w:val="auto"/>
              </w:rPr>
            </w:pPr>
            <w:r>
              <w:rPr>
                <w:rFonts w:hint="default" w:ascii="Times New Roman" w:hAnsi="Times New Roman" w:cs="Times New Roman"/>
                <w:color w:val="auto"/>
              </w:rPr>
              <w:t>收尘管道</w:t>
            </w:r>
          </w:p>
        </w:tc>
        <w:tc>
          <w:tcPr>
            <w:tcW w:w="1189" w:type="dxa"/>
            <w:vAlign w:val="center"/>
          </w:tcPr>
          <w:p w14:paraId="0B913B80">
            <w:pPr>
              <w:pStyle w:val="23"/>
              <w:bidi w:val="0"/>
              <w:rPr>
                <w:rFonts w:hint="default" w:ascii="Times New Roman" w:hAnsi="Times New Roman" w:cs="Times New Roman"/>
                <w:color w:val="auto"/>
              </w:rPr>
            </w:pPr>
            <w:r>
              <w:rPr>
                <w:rFonts w:hint="default" w:ascii="Times New Roman" w:hAnsi="Times New Roman" w:cs="Times New Roman"/>
                <w:color w:val="auto"/>
              </w:rPr>
              <w:t>配套</w:t>
            </w:r>
          </w:p>
        </w:tc>
        <w:tc>
          <w:tcPr>
            <w:tcW w:w="667" w:type="dxa"/>
            <w:vAlign w:val="center"/>
          </w:tcPr>
          <w:p w14:paraId="140DD22A">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927" w:type="dxa"/>
            <w:vAlign w:val="center"/>
          </w:tcPr>
          <w:p w14:paraId="4596D93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收尘管道</w:t>
            </w:r>
          </w:p>
        </w:tc>
        <w:tc>
          <w:tcPr>
            <w:tcW w:w="1039" w:type="dxa"/>
            <w:vAlign w:val="center"/>
          </w:tcPr>
          <w:p w14:paraId="1DD7B625">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配套</w:t>
            </w:r>
          </w:p>
        </w:tc>
        <w:tc>
          <w:tcPr>
            <w:tcW w:w="570" w:type="dxa"/>
            <w:vAlign w:val="center"/>
          </w:tcPr>
          <w:p w14:paraId="5DC7C7FE">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1</w:t>
            </w:r>
          </w:p>
        </w:tc>
        <w:tc>
          <w:tcPr>
            <w:tcW w:w="1653" w:type="dxa"/>
            <w:tcBorders>
              <w:right w:val="nil"/>
            </w:tcBorders>
            <w:vAlign w:val="center"/>
          </w:tcPr>
          <w:p w14:paraId="63F4D8B1">
            <w:pPr>
              <w:pStyle w:val="23"/>
              <w:bidi w:val="0"/>
              <w:rPr>
                <w:rFonts w:hint="default" w:ascii="Times New Roman" w:hAnsi="Times New Roman" w:cs="Times New Roman"/>
                <w:color w:val="auto"/>
              </w:rPr>
            </w:pPr>
            <w:r>
              <w:rPr>
                <w:rFonts w:hint="default" w:ascii="Times New Roman" w:hAnsi="Times New Roman" w:cs="Times New Roman"/>
                <w:color w:val="auto"/>
              </w:rPr>
              <w:t>与环评报告一致</w:t>
            </w:r>
          </w:p>
        </w:tc>
      </w:tr>
    </w:tbl>
    <w:p w14:paraId="62A0577F">
      <w:pPr>
        <w:pStyle w:val="3"/>
        <w:bidi w:val="0"/>
        <w:rPr>
          <w:rFonts w:hint="default" w:ascii="Times New Roman" w:hAnsi="Times New Roman" w:cs="Times New Roman"/>
          <w:color w:val="auto"/>
        </w:rPr>
      </w:pPr>
      <w:bookmarkStart w:id="19" w:name="_Toc27677"/>
      <w:r>
        <w:rPr>
          <w:rFonts w:hint="default" w:ascii="Times New Roman" w:hAnsi="Times New Roman" w:cs="Times New Roman"/>
          <w:color w:val="auto"/>
        </w:rPr>
        <w:t>3.3主要原辅材料及燃料</w:t>
      </w:r>
      <w:bookmarkEnd w:id="19"/>
    </w:p>
    <w:p w14:paraId="4D0D11F5">
      <w:pPr>
        <w:pStyle w:val="4"/>
        <w:bidi w:val="0"/>
        <w:rPr>
          <w:rFonts w:hint="default" w:ascii="Times New Roman" w:hAnsi="Times New Roman" w:cs="Times New Roman"/>
          <w:color w:val="auto"/>
        </w:rPr>
      </w:pPr>
      <w:bookmarkStart w:id="20" w:name="_Toc15810"/>
      <w:r>
        <w:rPr>
          <w:rFonts w:hint="default" w:ascii="Times New Roman" w:hAnsi="Times New Roman" w:cs="Times New Roman"/>
          <w:color w:val="auto"/>
        </w:rPr>
        <w:t>3.3.1项目主要原辅材料种类及用量</w:t>
      </w:r>
      <w:bookmarkEnd w:id="20"/>
    </w:p>
    <w:p w14:paraId="35AF1CC3">
      <w:pPr>
        <w:bidi w:val="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rPr>
        <w:t>本项目采用有机高分子螯合剂稳定化处理工艺对飞灰进行稳定化固化处理。本项目正常运营时飞灰、螯合剂、水的物料配比</w:t>
      </w:r>
      <w:r>
        <w:rPr>
          <w:rFonts w:hint="default" w:ascii="Times New Roman" w:hAnsi="Times New Roman" w:cs="Times New Roman"/>
          <w:color w:val="auto"/>
          <w:highlight w:val="none"/>
        </w:rPr>
        <w:t>拟定为</w:t>
      </w:r>
      <w:r>
        <w:rPr>
          <w:rFonts w:hint="eastAsia" w:cs="Times New Roman"/>
          <w:color w:val="auto"/>
          <w:highlight w:val="none"/>
          <w:lang w:val="en-US" w:eastAsia="zh-CN"/>
        </w:rPr>
        <w:t>100</w:t>
      </w:r>
      <w:r>
        <w:rPr>
          <w:rFonts w:hint="eastAsia" w:ascii="Times New Roman" w:hAnsi="Times New Roman" w:cs="Times New Roman"/>
          <w:color w:val="auto"/>
          <w:highlight w:val="none"/>
          <w:lang w:eastAsia="zh-CN"/>
        </w:rPr>
        <w:t>：8：30</w:t>
      </w:r>
      <w:r>
        <w:rPr>
          <w:rFonts w:hint="default" w:ascii="Times New Roman" w:hAnsi="Times New Roman" w:cs="Times New Roman"/>
          <w:color w:val="auto"/>
          <w:highlight w:val="none"/>
        </w:rPr>
        <w:t>（备注：生产需依据技术标准中抽检频次检测结果中飞灰有害成分进行调整）。</w:t>
      </w:r>
      <w:r>
        <w:rPr>
          <w:rFonts w:hint="eastAsia" w:cs="Times New Roman"/>
          <w:color w:val="auto"/>
          <w:highlight w:val="none"/>
          <w:lang w:val="en-US" w:eastAsia="zh-CN"/>
        </w:rPr>
        <w:t>为了验证环境保护设施调试运行效果，</w:t>
      </w:r>
      <w:r>
        <w:rPr>
          <w:rFonts w:hint="default" w:ascii="Times New Roman" w:hAnsi="Times New Roman" w:cs="Times New Roman"/>
          <w:color w:val="auto"/>
          <w:highlight w:val="none"/>
          <w:lang w:val="en-US" w:eastAsia="zh-CN"/>
        </w:rPr>
        <w:t>验收当天</w:t>
      </w:r>
      <w:r>
        <w:rPr>
          <w:rFonts w:hint="eastAsia" w:cs="Times New Roman"/>
          <w:color w:val="auto"/>
          <w:highlight w:val="none"/>
          <w:lang w:val="en-US" w:eastAsia="zh-CN"/>
        </w:rPr>
        <w:t>将两台生产设备及环保设施均开启，确保确保主体工程工况稳定、环境保护设施运行正常，验收当天</w:t>
      </w:r>
      <w:r>
        <w:rPr>
          <w:rFonts w:hint="default" w:ascii="Times New Roman" w:hAnsi="Times New Roman" w:cs="Times New Roman"/>
          <w:color w:val="auto"/>
          <w:highlight w:val="none"/>
        </w:rPr>
        <w:t>处理飞灰</w:t>
      </w:r>
      <w:r>
        <w:rPr>
          <w:rFonts w:hint="eastAsia" w:cs="Times New Roman"/>
          <w:color w:val="auto"/>
          <w:highlight w:val="none"/>
          <w:lang w:val="en-US" w:eastAsia="zh-CN"/>
        </w:rPr>
        <w:t>量为100</w:t>
      </w:r>
      <w:r>
        <w:rPr>
          <w:rFonts w:hint="default" w:ascii="Times New Roman" w:hAnsi="Times New Roman" w:cs="Times New Roman"/>
          <w:color w:val="auto"/>
          <w:highlight w:val="none"/>
        </w:rPr>
        <w:t>t</w:t>
      </w:r>
      <w:r>
        <w:rPr>
          <w:rFonts w:hint="default" w:ascii="Times New Roman" w:hAnsi="Times New Roman" w:cs="Times New Roman"/>
          <w:color w:val="auto"/>
          <w:highlight w:val="none"/>
          <w:lang w:val="en-US" w:eastAsia="zh-CN"/>
        </w:rPr>
        <w:t>/d</w:t>
      </w:r>
      <w:r>
        <w:rPr>
          <w:rFonts w:hint="default" w:ascii="Times New Roman" w:hAnsi="Times New Roman" w:cs="Times New Roman"/>
          <w:color w:val="auto"/>
          <w:highlight w:val="none"/>
        </w:rPr>
        <w:t>，使用螯合剂</w:t>
      </w:r>
      <w:r>
        <w:rPr>
          <w:rFonts w:hint="eastAsia" w:cs="Times New Roman"/>
          <w:color w:val="auto"/>
          <w:highlight w:val="none"/>
          <w:lang w:val="en-US" w:eastAsia="zh-CN"/>
        </w:rPr>
        <w:t>8</w:t>
      </w:r>
      <w:r>
        <w:rPr>
          <w:rFonts w:hint="default" w:ascii="Times New Roman" w:hAnsi="Times New Roman" w:cs="Times New Roman"/>
          <w:color w:val="auto"/>
          <w:highlight w:val="none"/>
        </w:rPr>
        <w:t>t</w:t>
      </w:r>
      <w:r>
        <w:rPr>
          <w:rFonts w:hint="default" w:ascii="Times New Roman" w:hAnsi="Times New Roman" w:cs="Times New Roman"/>
          <w:color w:val="auto"/>
          <w:highlight w:val="none"/>
          <w:lang w:val="en-US" w:eastAsia="zh-CN"/>
        </w:rPr>
        <w:t>/d</w:t>
      </w:r>
      <w:r>
        <w:rPr>
          <w:rFonts w:hint="default" w:ascii="Times New Roman" w:hAnsi="Times New Roman" w:cs="Times New Roman"/>
          <w:color w:val="auto"/>
          <w:highlight w:val="none"/>
        </w:rPr>
        <w:t>、水</w:t>
      </w:r>
      <w:r>
        <w:rPr>
          <w:rFonts w:hint="eastAsia" w:cs="Times New Roman"/>
          <w:color w:val="auto"/>
          <w:highlight w:val="none"/>
          <w:lang w:val="en-US" w:eastAsia="zh-CN"/>
        </w:rPr>
        <w:t>30</w:t>
      </w:r>
      <w:r>
        <w:rPr>
          <w:rFonts w:hint="default" w:ascii="Times New Roman" w:hAnsi="Times New Roman" w:cs="Times New Roman"/>
          <w:color w:val="auto"/>
          <w:highlight w:val="none"/>
        </w:rPr>
        <w:t>t</w:t>
      </w:r>
      <w:r>
        <w:rPr>
          <w:rFonts w:hint="default" w:ascii="Times New Roman" w:hAnsi="Times New Roman" w:cs="Times New Roman"/>
          <w:color w:val="auto"/>
          <w:highlight w:val="none"/>
          <w:lang w:val="en-US" w:eastAsia="zh-CN"/>
        </w:rPr>
        <w:t>/d</w:t>
      </w:r>
      <w:r>
        <w:rPr>
          <w:rFonts w:hint="default" w:ascii="Times New Roman" w:hAnsi="Times New Roman" w:cs="Times New Roman"/>
          <w:color w:val="auto"/>
          <w:highlight w:val="none"/>
        </w:rPr>
        <w:t>。项目验收时主要原辅材料种类及用量见表3</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highlight w:val="none"/>
          <w:lang w:eastAsia="zh-CN"/>
        </w:rPr>
        <w:t>。</w:t>
      </w:r>
    </w:p>
    <w:p w14:paraId="1E47C514">
      <w:pPr>
        <w:pStyle w:val="21"/>
        <w:bidi w:val="0"/>
        <w:rPr>
          <w:rFonts w:hint="default"/>
          <w:color w:val="auto"/>
          <w:lang w:eastAsia="zh-CN"/>
        </w:rPr>
      </w:pPr>
      <w:r>
        <w:rPr>
          <w:rFonts w:hint="default"/>
          <w:color w:val="auto"/>
        </w:rPr>
        <w:t>表3</w:t>
      </w:r>
      <w:r>
        <w:rPr>
          <w:rFonts w:hint="default"/>
          <w:color w:val="auto"/>
          <w:lang w:val="en-US" w:eastAsia="zh-CN"/>
        </w:rPr>
        <w:t>.3</w:t>
      </w:r>
      <w:r>
        <w:rPr>
          <w:rFonts w:hint="default"/>
          <w:color w:val="auto"/>
        </w:rPr>
        <w:t>-</w:t>
      </w:r>
      <w:r>
        <w:rPr>
          <w:rFonts w:hint="default"/>
          <w:color w:val="auto"/>
          <w:lang w:val="en-US" w:eastAsia="zh-CN"/>
        </w:rPr>
        <w:t xml:space="preserve">1  </w:t>
      </w:r>
      <w:r>
        <w:rPr>
          <w:rFonts w:hint="default"/>
          <w:color w:val="auto"/>
        </w:rPr>
        <w:t>验收时主要原辅材料种类及用量</w:t>
      </w:r>
    </w:p>
    <w:tbl>
      <w:tblPr>
        <w:tblStyle w:val="20"/>
        <w:tblW w:w="9071" w:type="dxa"/>
        <w:jc w:val="center"/>
        <w:tblBorders>
          <w:top w:val="single" w:color="auto" w:sz="12" w:space="0"/>
          <w:left w:val="single" w:color="000000" w:sz="2" w:space="0"/>
          <w:bottom w:val="single" w:color="auto"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739"/>
        <w:gridCol w:w="777"/>
        <w:gridCol w:w="1511"/>
        <w:gridCol w:w="1510"/>
        <w:gridCol w:w="1510"/>
        <w:gridCol w:w="1508"/>
        <w:gridCol w:w="1516"/>
      </w:tblGrid>
      <w:tr w14:paraId="0E326356">
        <w:tblPrEx>
          <w:tblBorders>
            <w:top w:val="single" w:color="auto" w:sz="12" w:space="0"/>
            <w:left w:val="single" w:color="000000" w:sz="2"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39" w:type="dxa"/>
            <w:tcBorders>
              <w:left w:val="nil"/>
            </w:tcBorders>
            <w:vAlign w:val="center"/>
          </w:tcPr>
          <w:p w14:paraId="7BBC6E0D">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序号</w:t>
            </w:r>
          </w:p>
        </w:tc>
        <w:tc>
          <w:tcPr>
            <w:tcW w:w="2288" w:type="dxa"/>
            <w:gridSpan w:val="2"/>
            <w:vAlign w:val="center"/>
          </w:tcPr>
          <w:p w14:paraId="71739749">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原辅材料</w:t>
            </w:r>
          </w:p>
        </w:tc>
        <w:tc>
          <w:tcPr>
            <w:tcW w:w="1510" w:type="dxa"/>
            <w:vAlign w:val="center"/>
          </w:tcPr>
          <w:p w14:paraId="26345BF1">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环评用量</w:t>
            </w:r>
          </w:p>
        </w:tc>
        <w:tc>
          <w:tcPr>
            <w:tcW w:w="1510" w:type="dxa"/>
            <w:vAlign w:val="center"/>
          </w:tcPr>
          <w:p w14:paraId="1EEE382C">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验收时消耗</w:t>
            </w:r>
          </w:p>
        </w:tc>
        <w:tc>
          <w:tcPr>
            <w:tcW w:w="1508" w:type="dxa"/>
            <w:vAlign w:val="center"/>
          </w:tcPr>
          <w:p w14:paraId="732B52C2">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包装方式</w:t>
            </w:r>
          </w:p>
        </w:tc>
        <w:tc>
          <w:tcPr>
            <w:tcW w:w="1516" w:type="dxa"/>
            <w:vAlign w:val="center"/>
          </w:tcPr>
          <w:p w14:paraId="3B9224A8">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厂内最大储存</w:t>
            </w:r>
          </w:p>
        </w:tc>
      </w:tr>
      <w:tr w14:paraId="05076B4D">
        <w:tblPrEx>
          <w:tblBorders>
            <w:top w:val="single" w:color="auto" w:sz="12" w:space="0"/>
            <w:left w:val="single" w:color="000000" w:sz="2"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39" w:type="dxa"/>
            <w:tcBorders>
              <w:left w:val="nil"/>
            </w:tcBorders>
            <w:vAlign w:val="center"/>
          </w:tcPr>
          <w:p w14:paraId="6CF5AFA1">
            <w:pPr>
              <w:spacing w:before="0" w:line="219" w:lineRule="auto"/>
              <w:ind w:left="0" w:firstLine="0" w:firstLineChars="0"/>
              <w:jc w:val="center"/>
              <w:rPr>
                <w:rFonts w:hint="default" w:ascii="Times New Roman" w:hAnsi="Times New Roman" w:eastAsia="宋体" w:cs="Times New Roman"/>
                <w:color w:val="auto"/>
                <w:spacing w:val="-3"/>
                <w:sz w:val="21"/>
                <w:szCs w:val="21"/>
                <w:highlight w:val="none"/>
              </w:rPr>
            </w:pPr>
            <w:r>
              <w:rPr>
                <w:rFonts w:hint="default" w:ascii="Times New Roman" w:hAnsi="Times New Roman" w:eastAsia="宋体" w:cs="Times New Roman"/>
                <w:color w:val="auto"/>
                <w:spacing w:val="-3"/>
                <w:sz w:val="21"/>
                <w:szCs w:val="21"/>
                <w:highlight w:val="none"/>
              </w:rPr>
              <w:t>1</w:t>
            </w:r>
          </w:p>
        </w:tc>
        <w:tc>
          <w:tcPr>
            <w:tcW w:w="777" w:type="dxa"/>
            <w:vAlign w:val="center"/>
          </w:tcPr>
          <w:p w14:paraId="3CA8C1B8">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原料</w:t>
            </w:r>
          </w:p>
        </w:tc>
        <w:tc>
          <w:tcPr>
            <w:tcW w:w="1511" w:type="dxa"/>
            <w:vAlign w:val="center"/>
          </w:tcPr>
          <w:p w14:paraId="7A1F17CC">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飞灰</w:t>
            </w:r>
          </w:p>
        </w:tc>
        <w:tc>
          <w:tcPr>
            <w:tcW w:w="1510" w:type="dxa"/>
            <w:vAlign w:val="center"/>
          </w:tcPr>
          <w:p w14:paraId="3496A62C">
            <w:pPr>
              <w:spacing w:before="0" w:line="219" w:lineRule="auto"/>
              <w:ind w:left="0" w:firstLine="0" w:firstLineChars="0"/>
              <w:jc w:val="center"/>
              <w:rPr>
                <w:rFonts w:hint="default" w:ascii="Times New Roman" w:hAnsi="Times New Roman" w:eastAsia="宋体" w:cs="Times New Roman"/>
                <w:color w:val="auto"/>
                <w:spacing w:val="-3"/>
                <w:sz w:val="21"/>
                <w:szCs w:val="21"/>
                <w:highlight w:val="none"/>
                <w:lang w:val="en-US" w:eastAsia="zh-CN"/>
              </w:rPr>
            </w:pPr>
            <w:r>
              <w:rPr>
                <w:rFonts w:hint="eastAsia" w:cs="Times New Roman"/>
                <w:color w:val="auto"/>
                <w:spacing w:val="-3"/>
                <w:sz w:val="21"/>
                <w:szCs w:val="21"/>
                <w:highlight w:val="none"/>
                <w:lang w:val="en-US" w:eastAsia="zh-CN"/>
              </w:rPr>
              <w:t>100</w:t>
            </w:r>
            <w:r>
              <w:rPr>
                <w:rFonts w:hint="default" w:ascii="Times New Roman" w:hAnsi="Times New Roman" w:eastAsia="宋体" w:cs="Times New Roman"/>
                <w:color w:val="auto"/>
                <w:spacing w:val="-3"/>
                <w:sz w:val="21"/>
                <w:szCs w:val="21"/>
                <w:highlight w:val="none"/>
              </w:rPr>
              <w:t>t/</w:t>
            </w:r>
            <w:r>
              <w:rPr>
                <w:rFonts w:hint="default" w:ascii="Times New Roman" w:hAnsi="Times New Roman" w:cs="Times New Roman"/>
                <w:color w:val="auto"/>
                <w:spacing w:val="-3"/>
                <w:sz w:val="21"/>
                <w:szCs w:val="21"/>
                <w:highlight w:val="none"/>
                <w:lang w:val="en-US" w:eastAsia="zh-CN"/>
              </w:rPr>
              <w:t>d</w:t>
            </w:r>
          </w:p>
        </w:tc>
        <w:tc>
          <w:tcPr>
            <w:tcW w:w="1510" w:type="dxa"/>
            <w:vAlign w:val="center"/>
          </w:tcPr>
          <w:p w14:paraId="41C8C1F2">
            <w:pPr>
              <w:spacing w:before="0" w:line="219" w:lineRule="auto"/>
              <w:ind w:left="0" w:firstLine="0" w:firstLineChars="0"/>
              <w:jc w:val="center"/>
              <w:rPr>
                <w:rFonts w:hint="default" w:ascii="Times New Roman" w:hAnsi="Times New Roman" w:eastAsia="宋体" w:cs="Times New Roman"/>
                <w:color w:val="auto"/>
                <w:spacing w:val="-3"/>
                <w:sz w:val="21"/>
                <w:szCs w:val="21"/>
                <w:highlight w:val="none"/>
                <w:lang w:val="en-US" w:eastAsia="zh-CN"/>
              </w:rPr>
            </w:pPr>
            <w:r>
              <w:rPr>
                <w:rFonts w:hint="eastAsia" w:cs="Times New Roman"/>
                <w:color w:val="auto"/>
                <w:spacing w:val="-3"/>
                <w:sz w:val="21"/>
                <w:szCs w:val="21"/>
                <w:highlight w:val="none"/>
                <w:lang w:val="en-US" w:eastAsia="zh-CN"/>
              </w:rPr>
              <w:t>100</w:t>
            </w:r>
            <w:r>
              <w:rPr>
                <w:rFonts w:hint="default" w:ascii="Times New Roman" w:hAnsi="Times New Roman" w:eastAsia="宋体" w:cs="Times New Roman"/>
                <w:color w:val="auto"/>
                <w:spacing w:val="-3"/>
                <w:sz w:val="21"/>
                <w:szCs w:val="21"/>
                <w:highlight w:val="none"/>
              </w:rPr>
              <w:t>t/</w:t>
            </w:r>
            <w:r>
              <w:rPr>
                <w:rFonts w:hint="default" w:ascii="Times New Roman" w:hAnsi="Times New Roman" w:cs="Times New Roman"/>
                <w:color w:val="auto"/>
                <w:spacing w:val="-3"/>
                <w:sz w:val="21"/>
                <w:szCs w:val="21"/>
                <w:highlight w:val="none"/>
                <w:lang w:val="en-US" w:eastAsia="zh-CN"/>
              </w:rPr>
              <w:t>d</w:t>
            </w:r>
          </w:p>
        </w:tc>
        <w:tc>
          <w:tcPr>
            <w:tcW w:w="1508" w:type="dxa"/>
            <w:vAlign w:val="center"/>
          </w:tcPr>
          <w:p w14:paraId="5A28625A">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袋装</w:t>
            </w:r>
          </w:p>
        </w:tc>
        <w:tc>
          <w:tcPr>
            <w:tcW w:w="1516" w:type="dxa"/>
            <w:vAlign w:val="center"/>
          </w:tcPr>
          <w:p w14:paraId="55399B6B">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直运</w:t>
            </w:r>
          </w:p>
        </w:tc>
      </w:tr>
      <w:tr w14:paraId="63738AF8">
        <w:tblPrEx>
          <w:tblBorders>
            <w:top w:val="single" w:color="auto" w:sz="12" w:space="0"/>
            <w:left w:val="single" w:color="000000" w:sz="2"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39" w:type="dxa"/>
            <w:tcBorders>
              <w:left w:val="nil"/>
            </w:tcBorders>
            <w:vAlign w:val="center"/>
          </w:tcPr>
          <w:p w14:paraId="6AF02D36">
            <w:pPr>
              <w:spacing w:before="0" w:line="219" w:lineRule="auto"/>
              <w:ind w:left="0" w:firstLine="0" w:firstLineChars="0"/>
              <w:jc w:val="center"/>
              <w:rPr>
                <w:rFonts w:hint="default" w:ascii="Times New Roman" w:hAnsi="Times New Roman" w:eastAsia="宋体" w:cs="Times New Roman"/>
                <w:color w:val="auto"/>
                <w:spacing w:val="-3"/>
                <w:sz w:val="21"/>
                <w:szCs w:val="21"/>
                <w:highlight w:val="none"/>
              </w:rPr>
            </w:pPr>
            <w:r>
              <w:rPr>
                <w:rFonts w:hint="default" w:ascii="Times New Roman" w:hAnsi="Times New Roman" w:eastAsia="宋体" w:cs="Times New Roman"/>
                <w:color w:val="auto"/>
                <w:spacing w:val="-3"/>
                <w:sz w:val="21"/>
                <w:szCs w:val="21"/>
                <w:highlight w:val="none"/>
              </w:rPr>
              <w:t>2</w:t>
            </w:r>
          </w:p>
        </w:tc>
        <w:tc>
          <w:tcPr>
            <w:tcW w:w="777" w:type="dxa"/>
            <w:vAlign w:val="center"/>
          </w:tcPr>
          <w:p w14:paraId="36503E9F">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辅料</w:t>
            </w:r>
          </w:p>
        </w:tc>
        <w:tc>
          <w:tcPr>
            <w:tcW w:w="1511" w:type="dxa"/>
            <w:vAlign w:val="center"/>
          </w:tcPr>
          <w:p w14:paraId="644D2BCF">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螯合剂</w:t>
            </w:r>
          </w:p>
        </w:tc>
        <w:tc>
          <w:tcPr>
            <w:tcW w:w="1510" w:type="dxa"/>
            <w:vAlign w:val="center"/>
          </w:tcPr>
          <w:p w14:paraId="61981CF6">
            <w:pPr>
              <w:spacing w:before="0" w:line="219" w:lineRule="auto"/>
              <w:ind w:left="0" w:firstLine="0" w:firstLineChars="0"/>
              <w:jc w:val="center"/>
              <w:rPr>
                <w:rFonts w:hint="default" w:ascii="Times New Roman" w:hAnsi="Times New Roman" w:eastAsia="宋体" w:cs="Times New Roman"/>
                <w:color w:val="auto"/>
                <w:spacing w:val="-3"/>
                <w:sz w:val="21"/>
                <w:szCs w:val="21"/>
                <w:highlight w:val="none"/>
                <w:lang w:val="en-US" w:eastAsia="zh-CN"/>
              </w:rPr>
            </w:pPr>
            <w:r>
              <w:rPr>
                <w:rFonts w:hint="eastAsia" w:cs="Times New Roman"/>
                <w:color w:val="auto"/>
                <w:spacing w:val="-3"/>
                <w:sz w:val="21"/>
                <w:szCs w:val="21"/>
                <w:highlight w:val="none"/>
                <w:lang w:val="en-US" w:eastAsia="zh-CN"/>
              </w:rPr>
              <w:t>2.5</w:t>
            </w:r>
            <w:r>
              <w:rPr>
                <w:rFonts w:hint="default" w:ascii="Times New Roman" w:hAnsi="Times New Roman" w:eastAsia="宋体" w:cs="Times New Roman"/>
                <w:color w:val="auto"/>
                <w:spacing w:val="-3"/>
                <w:sz w:val="21"/>
                <w:szCs w:val="21"/>
                <w:highlight w:val="none"/>
              </w:rPr>
              <w:t>t/</w:t>
            </w:r>
            <w:r>
              <w:rPr>
                <w:rFonts w:hint="default" w:ascii="Times New Roman" w:hAnsi="Times New Roman" w:cs="Times New Roman"/>
                <w:color w:val="auto"/>
                <w:spacing w:val="-3"/>
                <w:sz w:val="21"/>
                <w:szCs w:val="21"/>
                <w:highlight w:val="none"/>
                <w:lang w:val="en-US" w:eastAsia="zh-CN"/>
              </w:rPr>
              <w:t>d</w:t>
            </w:r>
          </w:p>
        </w:tc>
        <w:tc>
          <w:tcPr>
            <w:tcW w:w="1510" w:type="dxa"/>
            <w:vAlign w:val="center"/>
          </w:tcPr>
          <w:p w14:paraId="7B71C575">
            <w:pPr>
              <w:spacing w:before="0" w:line="219" w:lineRule="auto"/>
              <w:ind w:left="0" w:firstLine="0" w:firstLineChars="0"/>
              <w:jc w:val="center"/>
              <w:rPr>
                <w:rFonts w:hint="default" w:ascii="Times New Roman" w:hAnsi="Times New Roman" w:eastAsia="宋体" w:cs="Times New Roman"/>
                <w:color w:val="auto"/>
                <w:spacing w:val="-3"/>
                <w:sz w:val="21"/>
                <w:szCs w:val="21"/>
                <w:highlight w:val="none"/>
                <w:lang w:val="en-US" w:eastAsia="zh-CN"/>
              </w:rPr>
            </w:pPr>
            <w:r>
              <w:rPr>
                <w:rFonts w:hint="eastAsia" w:cs="Times New Roman"/>
                <w:color w:val="auto"/>
                <w:spacing w:val="-3"/>
                <w:sz w:val="21"/>
                <w:szCs w:val="21"/>
                <w:highlight w:val="none"/>
                <w:lang w:val="en-US" w:eastAsia="zh-CN"/>
              </w:rPr>
              <w:t>8</w:t>
            </w:r>
            <w:r>
              <w:rPr>
                <w:rFonts w:hint="default" w:ascii="Times New Roman" w:hAnsi="Times New Roman" w:cs="Times New Roman"/>
                <w:color w:val="auto"/>
                <w:spacing w:val="-3"/>
                <w:sz w:val="21"/>
                <w:szCs w:val="21"/>
                <w:highlight w:val="none"/>
                <w:lang w:val="en-US" w:eastAsia="zh-CN"/>
              </w:rPr>
              <w:t>t</w:t>
            </w:r>
            <w:r>
              <w:rPr>
                <w:rFonts w:hint="default" w:ascii="Times New Roman" w:hAnsi="Times New Roman" w:eastAsia="宋体" w:cs="Times New Roman"/>
                <w:color w:val="auto"/>
                <w:spacing w:val="-3"/>
                <w:sz w:val="21"/>
                <w:szCs w:val="21"/>
                <w:highlight w:val="none"/>
              </w:rPr>
              <w:t>/</w:t>
            </w:r>
            <w:r>
              <w:rPr>
                <w:rFonts w:hint="default" w:ascii="Times New Roman" w:hAnsi="Times New Roman" w:cs="Times New Roman"/>
                <w:color w:val="auto"/>
                <w:spacing w:val="-3"/>
                <w:sz w:val="21"/>
                <w:szCs w:val="21"/>
                <w:highlight w:val="none"/>
                <w:lang w:val="en-US" w:eastAsia="zh-CN"/>
              </w:rPr>
              <w:t>d</w:t>
            </w:r>
          </w:p>
        </w:tc>
        <w:tc>
          <w:tcPr>
            <w:tcW w:w="1508" w:type="dxa"/>
            <w:vAlign w:val="center"/>
          </w:tcPr>
          <w:p w14:paraId="2D24DBD3">
            <w:pPr>
              <w:spacing w:before="0" w:line="219" w:lineRule="auto"/>
              <w:ind w:left="0" w:firstLine="0" w:firstLineChars="0"/>
              <w:jc w:val="center"/>
              <w:rPr>
                <w:rFonts w:hint="default" w:ascii="Times New Roman" w:hAnsi="Times New Roman" w:cs="Times New Roman"/>
                <w:color w:val="auto"/>
                <w:spacing w:val="-3"/>
                <w:sz w:val="21"/>
                <w:szCs w:val="21"/>
                <w:highlight w:val="none"/>
              </w:rPr>
            </w:pPr>
            <w:r>
              <w:rPr>
                <w:rFonts w:hint="default" w:ascii="Times New Roman" w:hAnsi="Times New Roman" w:cs="Times New Roman"/>
                <w:color w:val="auto"/>
                <w:spacing w:val="-3"/>
                <w:sz w:val="21"/>
                <w:szCs w:val="21"/>
                <w:highlight w:val="none"/>
              </w:rPr>
              <w:t>罐装</w:t>
            </w:r>
          </w:p>
        </w:tc>
        <w:tc>
          <w:tcPr>
            <w:tcW w:w="1516" w:type="dxa"/>
            <w:vAlign w:val="center"/>
          </w:tcPr>
          <w:p w14:paraId="2424AC45">
            <w:pPr>
              <w:spacing w:before="0" w:line="219" w:lineRule="auto"/>
              <w:ind w:left="0" w:firstLine="0" w:firstLineChars="0"/>
              <w:jc w:val="center"/>
              <w:rPr>
                <w:rFonts w:hint="default" w:ascii="Times New Roman" w:hAnsi="Times New Roman" w:eastAsia="宋体" w:cs="Times New Roman"/>
                <w:color w:val="auto"/>
                <w:spacing w:val="-3"/>
                <w:sz w:val="21"/>
                <w:szCs w:val="21"/>
                <w:highlight w:val="none"/>
              </w:rPr>
            </w:pPr>
            <w:r>
              <w:rPr>
                <w:rFonts w:hint="default" w:ascii="Times New Roman" w:hAnsi="Times New Roman" w:eastAsia="宋体" w:cs="Times New Roman"/>
                <w:color w:val="auto"/>
                <w:spacing w:val="-3"/>
                <w:sz w:val="21"/>
                <w:szCs w:val="21"/>
                <w:highlight w:val="none"/>
                <w:lang w:val="en-US" w:eastAsia="zh-CN"/>
              </w:rPr>
              <w:t>20</w:t>
            </w:r>
            <w:r>
              <w:rPr>
                <w:rFonts w:hint="default" w:ascii="Times New Roman" w:hAnsi="Times New Roman" w:eastAsia="宋体" w:cs="Times New Roman"/>
                <w:color w:val="auto"/>
                <w:spacing w:val="-3"/>
                <w:sz w:val="21"/>
                <w:szCs w:val="21"/>
                <w:highlight w:val="none"/>
              </w:rPr>
              <w:t>t</w:t>
            </w:r>
          </w:p>
        </w:tc>
      </w:tr>
    </w:tbl>
    <w:p w14:paraId="5D534BC5">
      <w:pPr>
        <w:spacing w:beforeLines="100"/>
        <w:rPr>
          <w:rFonts w:hint="default" w:ascii="Times New Roman" w:hAnsi="Times New Roman" w:cs="Times New Roman"/>
          <w:color w:val="auto"/>
          <w:highlight w:val="none"/>
        </w:rPr>
      </w:pPr>
      <w:r>
        <w:rPr>
          <w:rFonts w:hint="default" w:ascii="Times New Roman" w:hAnsi="Times New Roman" w:cs="Times New Roman"/>
          <w:color w:val="auto"/>
          <w:highlight w:val="none"/>
        </w:rPr>
        <w:t>（1）飞灰</w:t>
      </w:r>
    </w:p>
    <w:p w14:paraId="398064C3">
      <w:pPr>
        <w:bidi w:val="0"/>
        <w:rPr>
          <w:rFonts w:hint="default" w:ascii="Times New Roman" w:hAnsi="Times New Roman" w:eastAsia="宋体" w:cs="Times New Roman"/>
          <w:color w:val="auto"/>
        </w:rPr>
      </w:pPr>
      <w:r>
        <w:rPr>
          <w:rFonts w:hint="default" w:ascii="Times New Roman" w:hAnsi="Times New Roman" w:eastAsia="宋体" w:cs="Times New Roman"/>
          <w:color w:val="auto"/>
        </w:rPr>
        <w:t>生活垃圾焚烧发电厂的飞灰，是生活垃圾在焚烧过程中产生的烟气通过一系列</w:t>
      </w:r>
      <w:r>
        <w:rPr>
          <w:rFonts w:hint="eastAsia" w:cs="Times New Roman"/>
          <w:color w:val="auto"/>
          <w:lang w:eastAsia="zh-CN"/>
        </w:rPr>
        <w:t>“</w:t>
      </w:r>
      <w:r>
        <w:rPr>
          <w:rFonts w:hint="default" w:ascii="Times New Roman" w:hAnsi="Times New Roman" w:eastAsia="宋体" w:cs="Times New Roman"/>
          <w:color w:val="auto"/>
        </w:rPr>
        <w:t>烟气净化系统(半干法、干法、SNCR、活性炭喷射、布袋除尘)</w:t>
      </w:r>
      <w:r>
        <w:rPr>
          <w:rFonts w:hint="eastAsia" w:cs="Times New Roman"/>
          <w:color w:val="auto"/>
          <w:lang w:eastAsia="zh-CN"/>
        </w:rPr>
        <w:t>”</w:t>
      </w:r>
      <w:r>
        <w:rPr>
          <w:rFonts w:hint="default" w:ascii="Times New Roman" w:hAnsi="Times New Roman" w:eastAsia="宋体" w:cs="Times New Roman"/>
          <w:color w:val="auto"/>
        </w:rPr>
        <w:t>后被截留下来的固态粉末状颗粒物，飞灰的表观形态与含水率有关，典型1%含水率时，呈浅灰或黄色粉末状固体，分散度高，易扬尘。垃圾焚烧烟气中的颗粒物多为扁平和圆形，凝聚成团，呈现随海绵状或球形细小颗粒，焚烧飞灰中可分解的盐类及有机物不多，且主要结晶态是以氯盐、硫酸盐及硅铝酸盐为主要的物种形态。飞灰的化学成分主要包括Cl、Ca、K、Na、Si、Al、</w:t>
      </w:r>
      <w:r>
        <w:rPr>
          <w:rFonts w:hint="default" w:ascii="Times New Roman" w:hAnsi="Times New Roman" w:cs="Times New Roman"/>
          <w:color w:val="auto"/>
          <w:lang w:val="en-US" w:eastAsia="zh-CN"/>
        </w:rPr>
        <w:t>O</w:t>
      </w:r>
      <w:r>
        <w:rPr>
          <w:rFonts w:hint="default" w:ascii="Times New Roman" w:hAnsi="Times New Roman" w:eastAsia="宋体" w:cs="Times New Roman"/>
          <w:color w:val="auto"/>
        </w:rPr>
        <w:t>等元素，主要化学成分为CaO、SiO</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、Al</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O</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、Fe</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O</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等，此外，飞灰常含有一定浓度的重金属，如Hg、Pb、Cd、Cu、Cr、Zn等，这些重金属主要以气溶胶小颗粒和富集于飞灰颗粒表面的形式存在，同时在飞灰中还含有少量的二噁英。</w:t>
      </w:r>
    </w:p>
    <w:p w14:paraId="4F06A4D4">
      <w:pPr>
        <w:rPr>
          <w:rFonts w:hint="default" w:ascii="Times New Roman" w:hAnsi="Times New Roman" w:eastAsia="宋体" w:cs="Times New Roman"/>
          <w:color w:val="auto"/>
        </w:rPr>
      </w:pPr>
      <w:r>
        <w:rPr>
          <w:rFonts w:hint="default" w:ascii="Times New Roman" w:hAnsi="Times New Roman" w:eastAsia="宋体" w:cs="Times New Roman"/>
          <w:color w:val="auto"/>
        </w:rPr>
        <w:t>(2)重金属螯合剂</w:t>
      </w:r>
    </w:p>
    <w:p w14:paraId="6D670C89">
      <w:pPr>
        <w:rPr>
          <w:rFonts w:hint="default" w:ascii="Times New Roman" w:hAnsi="Times New Roman" w:eastAsia="宋体" w:cs="Times New Roman"/>
          <w:color w:val="auto"/>
        </w:rPr>
      </w:pPr>
      <w:r>
        <w:rPr>
          <w:rFonts w:hint="default" w:ascii="Times New Roman" w:hAnsi="Times New Roman" w:eastAsia="宋体" w:cs="Times New Roman"/>
          <w:color w:val="auto"/>
        </w:rPr>
        <w:t>重金属螯合剂，通常也被叫做重金属离子析出剂，重金属捕集剂等，本项目使用重金属螯合剂（复合型药剂），其主要组成成分及其理化性质如表3</w:t>
      </w:r>
      <w:r>
        <w:rPr>
          <w:rFonts w:hint="default" w:ascii="Times New Roman" w:hAnsi="Times New Roman" w:cs="Times New Roman"/>
          <w:color w:val="auto"/>
          <w:lang w:val="en-US" w:eastAsia="zh-CN"/>
        </w:rPr>
        <w:t>.3</w:t>
      </w:r>
      <w:r>
        <w:rPr>
          <w:rFonts w:hint="default" w:ascii="Times New Roman" w:hAnsi="Times New Roman" w:eastAsia="宋体" w:cs="Times New Roman"/>
          <w:color w:val="auto"/>
        </w:rPr>
        <w:t>-</w:t>
      </w:r>
      <w:r>
        <w:rPr>
          <w:rFonts w:hint="default" w:ascii="Times New Roman" w:hAnsi="Times New Roman" w:cs="Times New Roman"/>
          <w:color w:val="auto"/>
          <w:lang w:val="en-US" w:eastAsia="zh-CN"/>
        </w:rPr>
        <w:t>2</w:t>
      </w:r>
      <w:r>
        <w:rPr>
          <w:rFonts w:hint="default" w:ascii="Times New Roman" w:hAnsi="Times New Roman" w:eastAsia="宋体" w:cs="Times New Roman"/>
          <w:color w:val="auto"/>
        </w:rPr>
        <w:t>。</w:t>
      </w:r>
    </w:p>
    <w:p w14:paraId="7C2829BE">
      <w:pPr>
        <w:pStyle w:val="21"/>
        <w:bidi w:val="0"/>
        <w:rPr>
          <w:rFonts w:hint="default" w:ascii="Times New Roman" w:hAnsi="Times New Roman" w:cs="Times New Roman"/>
          <w:color w:val="auto"/>
        </w:rPr>
      </w:pPr>
      <w:r>
        <w:rPr>
          <w:rFonts w:hint="default" w:ascii="Times New Roman" w:hAnsi="Times New Roman" w:cs="Times New Roman"/>
          <w:color w:val="auto"/>
        </w:rPr>
        <w:t>表3</w:t>
      </w:r>
      <w:r>
        <w:rPr>
          <w:rFonts w:hint="default" w:ascii="Times New Roman" w:hAnsi="Times New Roman" w:cs="Times New Roman"/>
          <w:color w:val="auto"/>
          <w:lang w:val="en-US" w:eastAsia="zh-CN"/>
        </w:rPr>
        <w:t>.3</w:t>
      </w:r>
      <w:r>
        <w:rPr>
          <w:rFonts w:hint="default" w:ascii="Times New Roman" w:hAnsi="Times New Roman" w:cs="Times New Roman"/>
          <w:color w:val="auto"/>
        </w:rPr>
        <w:t>-</w:t>
      </w:r>
      <w:r>
        <w:rPr>
          <w:rFonts w:hint="default" w:ascii="Times New Roman" w:hAnsi="Times New Roman" w:cs="Times New Roman"/>
          <w:color w:val="auto"/>
          <w:lang w:val="en-US" w:eastAsia="zh-CN"/>
        </w:rPr>
        <w:t xml:space="preserve">2 </w:t>
      </w:r>
      <w:r>
        <w:rPr>
          <w:rFonts w:hint="default" w:ascii="Times New Roman" w:hAnsi="Times New Roman" w:cs="Times New Roman"/>
          <w:color w:val="auto"/>
        </w:rPr>
        <w:t>螯合剂主要组成成分及其理化性质</w:t>
      </w:r>
    </w:p>
    <w:tbl>
      <w:tblPr>
        <w:tblStyle w:val="20"/>
        <w:tblW w:w="9071" w:type="dxa"/>
        <w:jc w:val="center"/>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Layout w:type="fixed"/>
        <w:tblCellMar>
          <w:top w:w="0" w:type="dxa"/>
          <w:left w:w="0" w:type="dxa"/>
          <w:bottom w:w="0" w:type="dxa"/>
          <w:right w:w="0" w:type="dxa"/>
        </w:tblCellMar>
      </w:tblPr>
      <w:tblGrid>
        <w:gridCol w:w="1135"/>
        <w:gridCol w:w="1133"/>
        <w:gridCol w:w="1133"/>
        <w:gridCol w:w="1133"/>
        <w:gridCol w:w="1133"/>
        <w:gridCol w:w="1243"/>
        <w:gridCol w:w="936"/>
        <w:gridCol w:w="1225"/>
      </w:tblGrid>
      <w:tr w14:paraId="3F8DAFD5">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51" w:type="dxa"/>
            <w:gridSpan w:val="2"/>
            <w:tcBorders>
              <w:left w:val="nil"/>
            </w:tcBorders>
            <w:vAlign w:val="center"/>
          </w:tcPr>
          <w:p w14:paraId="2E2C96AA">
            <w:pPr>
              <w:pStyle w:val="21"/>
              <w:spacing w:before="0" w:beforeLines="0"/>
              <w:ind w:firstLine="0" w:firstLineChars="0"/>
              <w:rPr>
                <w:rFonts w:hint="default" w:ascii="Times New Roman" w:hAnsi="Times New Roman" w:cs="Times New Roman"/>
                <w:color w:val="auto"/>
                <w:sz w:val="22"/>
                <w:szCs w:val="22"/>
              </w:rPr>
            </w:pPr>
            <w:r>
              <w:rPr>
                <w:rFonts w:hint="default" w:ascii="Times New Roman" w:hAnsi="Times New Roman" w:cs="Times New Roman"/>
                <w:color w:val="auto"/>
                <w:spacing w:val="-2"/>
                <w:sz w:val="22"/>
                <w:szCs w:val="22"/>
              </w:rPr>
              <w:t>主要成分</w:t>
            </w:r>
          </w:p>
        </w:tc>
        <w:tc>
          <w:tcPr>
            <w:tcW w:w="2549" w:type="dxa"/>
            <w:gridSpan w:val="2"/>
            <w:vAlign w:val="center"/>
          </w:tcPr>
          <w:p w14:paraId="6F9701E5">
            <w:pPr>
              <w:pStyle w:val="21"/>
              <w:spacing w:before="0" w:beforeLines="0"/>
              <w:ind w:firstLine="0" w:firstLineChars="0"/>
              <w:rPr>
                <w:rFonts w:hint="default" w:ascii="Times New Roman" w:hAnsi="Times New Roman" w:cs="Times New Roman"/>
                <w:color w:val="auto"/>
                <w:sz w:val="22"/>
                <w:szCs w:val="22"/>
              </w:rPr>
            </w:pPr>
            <w:r>
              <w:rPr>
                <w:rFonts w:hint="default" w:ascii="Times New Roman" w:hAnsi="Times New Roman" w:cs="Times New Roman"/>
                <w:color w:val="auto"/>
                <w:spacing w:val="-2"/>
                <w:sz w:val="22"/>
                <w:szCs w:val="22"/>
              </w:rPr>
              <w:t>理化性质</w:t>
            </w:r>
          </w:p>
        </w:tc>
        <w:tc>
          <w:tcPr>
            <w:tcW w:w="2673" w:type="dxa"/>
            <w:gridSpan w:val="2"/>
            <w:vAlign w:val="center"/>
          </w:tcPr>
          <w:p w14:paraId="528BFA57">
            <w:pPr>
              <w:pStyle w:val="21"/>
              <w:spacing w:before="0" w:beforeLines="0"/>
              <w:ind w:firstLine="0" w:firstLineChars="0"/>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毒理学性质</w:t>
            </w:r>
          </w:p>
        </w:tc>
        <w:tc>
          <w:tcPr>
            <w:tcW w:w="2432" w:type="dxa"/>
            <w:gridSpan w:val="2"/>
            <w:tcBorders>
              <w:right w:val="nil"/>
            </w:tcBorders>
            <w:vAlign w:val="center"/>
          </w:tcPr>
          <w:p w14:paraId="2BB26411">
            <w:pPr>
              <w:pStyle w:val="21"/>
              <w:spacing w:before="0" w:beforeLines="0"/>
              <w:ind w:firstLine="0" w:firstLineChars="0"/>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稳定性与反应性</w:t>
            </w:r>
          </w:p>
        </w:tc>
      </w:tr>
      <w:tr w14:paraId="05E3F6AA">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277" w:type="dxa"/>
            <w:tcBorders>
              <w:left w:val="nil"/>
            </w:tcBorders>
            <w:vAlign w:val="center"/>
          </w:tcPr>
          <w:p w14:paraId="7B39D2BA">
            <w:pPr>
              <w:spacing w:before="0" w:line="231" w:lineRule="auto"/>
              <w:ind w:left="0" w:righ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主要有害物成分</w:t>
            </w:r>
          </w:p>
        </w:tc>
        <w:tc>
          <w:tcPr>
            <w:tcW w:w="1274" w:type="dxa"/>
            <w:vAlign w:val="center"/>
          </w:tcPr>
          <w:p w14:paraId="1D981461">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二乙基二硫代氨基甲酸钠</w:t>
            </w:r>
          </w:p>
        </w:tc>
        <w:tc>
          <w:tcPr>
            <w:tcW w:w="1275" w:type="dxa"/>
            <w:vAlign w:val="center"/>
          </w:tcPr>
          <w:p w14:paraId="62537689">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外观与状态</w:t>
            </w:r>
          </w:p>
        </w:tc>
        <w:tc>
          <w:tcPr>
            <w:tcW w:w="1274" w:type="dxa"/>
            <w:vAlign w:val="center"/>
          </w:tcPr>
          <w:p w14:paraId="282E2EF6">
            <w:pPr>
              <w:spacing w:before="0" w:line="231" w:lineRule="auto"/>
              <w:ind w:left="0" w:righ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白色晶体或白色粉末</w:t>
            </w:r>
          </w:p>
        </w:tc>
        <w:tc>
          <w:tcPr>
            <w:tcW w:w="1275" w:type="dxa"/>
            <w:vAlign w:val="center"/>
          </w:tcPr>
          <w:p w14:paraId="51F73753">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急性毒性</w:t>
            </w:r>
          </w:p>
        </w:tc>
        <w:tc>
          <w:tcPr>
            <w:tcW w:w="1398" w:type="dxa"/>
            <w:vAlign w:val="center"/>
          </w:tcPr>
          <w:p w14:paraId="2227A250">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eastAsia="宋体" w:cs="Times New Roman"/>
                <w:color w:val="auto"/>
                <w:spacing w:val="-2"/>
                <w:sz w:val="22"/>
                <w:szCs w:val="22"/>
              </w:rPr>
              <w:t>LD50</w:t>
            </w:r>
            <w:r>
              <w:rPr>
                <w:rFonts w:hint="default" w:ascii="Times New Roman" w:hAnsi="Times New Roman" w:cs="Times New Roman"/>
                <w:color w:val="auto"/>
                <w:spacing w:val="-2"/>
                <w:sz w:val="22"/>
                <w:szCs w:val="22"/>
              </w:rPr>
              <w:t>：</w:t>
            </w:r>
            <w:r>
              <w:rPr>
                <w:rFonts w:hint="eastAsia" w:ascii="Times New Roman" w:hAnsi="Times New Roman" w:cs="Times New Roman"/>
                <w:color w:val="auto"/>
                <w:spacing w:val="-2"/>
                <w:sz w:val="22"/>
                <w:szCs w:val="22"/>
                <w:lang w:val="en-US" w:eastAsia="zh-CN"/>
              </w:rPr>
              <w:t>2830</w:t>
            </w:r>
            <w:r>
              <w:rPr>
                <w:rFonts w:hint="default" w:ascii="Times New Roman" w:hAnsi="Times New Roman" w:eastAsia="宋体" w:cs="Times New Roman"/>
                <w:color w:val="auto"/>
                <w:spacing w:val="-2"/>
                <w:sz w:val="22"/>
                <w:szCs w:val="22"/>
              </w:rPr>
              <w:t>mg/kg(</w:t>
            </w:r>
            <w:r>
              <w:rPr>
                <w:rFonts w:hint="default" w:ascii="Times New Roman" w:hAnsi="Times New Roman" w:cs="Times New Roman"/>
                <w:color w:val="auto"/>
                <w:spacing w:val="-2"/>
                <w:sz w:val="22"/>
                <w:szCs w:val="22"/>
              </w:rPr>
              <w:t>大鼠经口</w:t>
            </w:r>
            <w:r>
              <w:rPr>
                <w:rFonts w:hint="default" w:ascii="Times New Roman" w:hAnsi="Times New Roman" w:eastAsia="宋体" w:cs="Times New Roman"/>
                <w:color w:val="auto"/>
                <w:spacing w:val="-2"/>
                <w:sz w:val="22"/>
                <w:szCs w:val="22"/>
              </w:rPr>
              <w:t>)</w:t>
            </w:r>
            <w:r>
              <w:rPr>
                <w:rFonts w:hint="default" w:ascii="Times New Roman" w:hAnsi="Times New Roman" w:cs="Times New Roman"/>
                <w:color w:val="auto"/>
                <w:spacing w:val="-2"/>
                <w:sz w:val="22"/>
                <w:szCs w:val="22"/>
              </w:rPr>
              <w:t>，</w:t>
            </w:r>
            <w:r>
              <w:rPr>
                <w:rFonts w:hint="default" w:ascii="Times New Roman" w:hAnsi="Times New Roman" w:eastAsia="宋体" w:cs="Times New Roman"/>
                <w:color w:val="auto"/>
                <w:spacing w:val="-2"/>
                <w:sz w:val="22"/>
                <w:szCs w:val="22"/>
              </w:rPr>
              <w:t>LC50</w:t>
            </w:r>
            <w:r>
              <w:rPr>
                <w:rFonts w:hint="default" w:ascii="Times New Roman" w:hAnsi="Times New Roman" w:cs="Times New Roman"/>
                <w:color w:val="auto"/>
                <w:spacing w:val="-2"/>
                <w:sz w:val="22"/>
                <w:szCs w:val="22"/>
              </w:rPr>
              <w:t>：无资料</w:t>
            </w:r>
          </w:p>
        </w:tc>
        <w:tc>
          <w:tcPr>
            <w:tcW w:w="1053" w:type="dxa"/>
            <w:vAlign w:val="center"/>
          </w:tcPr>
          <w:p w14:paraId="42DA77FA">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稳定性</w:t>
            </w:r>
          </w:p>
        </w:tc>
        <w:tc>
          <w:tcPr>
            <w:tcW w:w="1379" w:type="dxa"/>
            <w:tcBorders>
              <w:right w:val="nil"/>
            </w:tcBorders>
            <w:vAlign w:val="center"/>
          </w:tcPr>
          <w:p w14:paraId="4E59161E">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稳定</w:t>
            </w:r>
          </w:p>
        </w:tc>
      </w:tr>
      <w:tr w14:paraId="35840A41">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277" w:type="dxa"/>
            <w:tcBorders>
              <w:left w:val="nil"/>
            </w:tcBorders>
            <w:vAlign w:val="center"/>
          </w:tcPr>
          <w:p w14:paraId="0FDBBF70">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分子式</w:t>
            </w:r>
          </w:p>
        </w:tc>
        <w:tc>
          <w:tcPr>
            <w:tcW w:w="1274" w:type="dxa"/>
            <w:vAlign w:val="center"/>
          </w:tcPr>
          <w:p w14:paraId="6FE24FBA">
            <w:pPr>
              <w:spacing w:before="0" w:line="231" w:lineRule="auto"/>
              <w:ind w:left="0" w:firstLine="0" w:firstLineChars="0"/>
              <w:jc w:val="center"/>
              <w:rPr>
                <w:rFonts w:hint="default" w:ascii="Times New Roman" w:hAnsi="Times New Roman" w:eastAsia="宋体" w:cs="Times New Roman"/>
                <w:color w:val="auto"/>
                <w:spacing w:val="-2"/>
                <w:sz w:val="22"/>
                <w:szCs w:val="22"/>
              </w:rPr>
            </w:pPr>
            <w:r>
              <w:rPr>
                <w:rFonts w:hint="default" w:ascii="Times New Roman" w:hAnsi="Times New Roman" w:eastAsia="宋体" w:cs="Times New Roman"/>
                <w:color w:val="auto"/>
                <w:spacing w:val="-2"/>
                <w:sz w:val="22"/>
                <w:szCs w:val="22"/>
              </w:rPr>
              <w:t>(C</w:t>
            </w:r>
            <w:r>
              <w:rPr>
                <w:rFonts w:hint="default" w:ascii="Times New Roman" w:hAnsi="Times New Roman" w:eastAsia="宋体" w:cs="Times New Roman"/>
                <w:color w:val="auto"/>
                <w:spacing w:val="-2"/>
                <w:sz w:val="22"/>
                <w:szCs w:val="22"/>
                <w:vertAlign w:val="subscript"/>
              </w:rPr>
              <w:t>2</w:t>
            </w:r>
            <w:r>
              <w:rPr>
                <w:rFonts w:hint="default" w:ascii="Times New Roman" w:hAnsi="Times New Roman" w:eastAsia="宋体" w:cs="Times New Roman"/>
                <w:color w:val="auto"/>
                <w:spacing w:val="-2"/>
                <w:sz w:val="22"/>
                <w:szCs w:val="22"/>
              </w:rPr>
              <w:t>H</w:t>
            </w:r>
            <w:r>
              <w:rPr>
                <w:rFonts w:hint="default" w:ascii="Times New Roman" w:hAnsi="Times New Roman" w:eastAsia="宋体" w:cs="Times New Roman"/>
                <w:color w:val="auto"/>
                <w:spacing w:val="-2"/>
                <w:sz w:val="22"/>
                <w:szCs w:val="22"/>
                <w:vertAlign w:val="subscript"/>
              </w:rPr>
              <w:t>5</w:t>
            </w:r>
            <w:r>
              <w:rPr>
                <w:rFonts w:hint="default" w:ascii="Times New Roman" w:hAnsi="Times New Roman" w:eastAsia="宋体" w:cs="Times New Roman"/>
                <w:color w:val="auto"/>
                <w:spacing w:val="-2"/>
                <w:sz w:val="22"/>
                <w:szCs w:val="22"/>
              </w:rPr>
              <w:t>)</w:t>
            </w:r>
            <w:r>
              <w:rPr>
                <w:rFonts w:hint="default" w:ascii="Times New Roman" w:hAnsi="Times New Roman" w:eastAsia="宋体" w:cs="Times New Roman"/>
                <w:color w:val="auto"/>
                <w:spacing w:val="-2"/>
                <w:sz w:val="22"/>
                <w:szCs w:val="22"/>
                <w:vertAlign w:val="subscript"/>
              </w:rPr>
              <w:t>2</w:t>
            </w:r>
            <w:r>
              <w:rPr>
                <w:rFonts w:hint="default" w:ascii="Times New Roman" w:hAnsi="Times New Roman" w:eastAsia="宋体" w:cs="Times New Roman"/>
                <w:color w:val="auto"/>
                <w:spacing w:val="-2"/>
                <w:sz w:val="22"/>
                <w:szCs w:val="22"/>
              </w:rPr>
              <w:t>NCSSNa·3H</w:t>
            </w:r>
            <w:r>
              <w:rPr>
                <w:rFonts w:hint="default" w:ascii="Times New Roman" w:hAnsi="Times New Roman" w:eastAsia="宋体" w:cs="Times New Roman"/>
                <w:color w:val="auto"/>
                <w:spacing w:val="-2"/>
                <w:sz w:val="22"/>
                <w:szCs w:val="22"/>
                <w:vertAlign w:val="subscript"/>
              </w:rPr>
              <w:t>2</w:t>
            </w:r>
            <w:r>
              <w:rPr>
                <w:rFonts w:hint="default" w:ascii="Times New Roman" w:hAnsi="Times New Roman" w:eastAsia="宋体" w:cs="Times New Roman"/>
                <w:color w:val="auto"/>
                <w:spacing w:val="-2"/>
                <w:sz w:val="22"/>
                <w:szCs w:val="22"/>
              </w:rPr>
              <w:t>O</w:t>
            </w:r>
          </w:p>
        </w:tc>
        <w:tc>
          <w:tcPr>
            <w:tcW w:w="1275" w:type="dxa"/>
            <w:vAlign w:val="center"/>
          </w:tcPr>
          <w:p w14:paraId="7F456864">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气味</w:t>
            </w:r>
          </w:p>
        </w:tc>
        <w:tc>
          <w:tcPr>
            <w:tcW w:w="1274" w:type="dxa"/>
            <w:vAlign w:val="center"/>
          </w:tcPr>
          <w:p w14:paraId="5553C08D">
            <w:pPr>
              <w:spacing w:before="0" w:line="231" w:lineRule="auto"/>
              <w:ind w:left="0" w:righ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无（距离</w:t>
            </w:r>
            <w:r>
              <w:rPr>
                <w:rFonts w:hint="default" w:ascii="Times New Roman" w:hAnsi="Times New Roman" w:eastAsia="宋体" w:cs="Times New Roman"/>
                <w:color w:val="auto"/>
                <w:spacing w:val="-2"/>
                <w:sz w:val="22"/>
                <w:szCs w:val="22"/>
              </w:rPr>
              <w:t>10</w:t>
            </w:r>
            <w:r>
              <w:rPr>
                <w:rFonts w:hint="default" w:ascii="Times New Roman" w:hAnsi="Times New Roman" w:cs="Times New Roman"/>
                <w:color w:val="auto"/>
                <w:spacing w:val="-2"/>
                <w:sz w:val="22"/>
                <w:szCs w:val="22"/>
              </w:rPr>
              <w:t>公分以外）</w:t>
            </w:r>
          </w:p>
        </w:tc>
        <w:tc>
          <w:tcPr>
            <w:tcW w:w="1275" w:type="dxa"/>
            <w:vAlign w:val="center"/>
          </w:tcPr>
          <w:p w14:paraId="52EA379F">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刺激性</w:t>
            </w:r>
          </w:p>
        </w:tc>
        <w:tc>
          <w:tcPr>
            <w:tcW w:w="1398" w:type="dxa"/>
            <w:vAlign w:val="center"/>
          </w:tcPr>
          <w:p w14:paraId="02A3FEA0">
            <w:pPr>
              <w:spacing w:before="0" w:line="231" w:lineRule="auto"/>
              <w:ind w:left="0" w:righ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近距离有刺激性气味</w:t>
            </w:r>
          </w:p>
        </w:tc>
        <w:tc>
          <w:tcPr>
            <w:tcW w:w="1053" w:type="dxa"/>
            <w:vAlign w:val="center"/>
          </w:tcPr>
          <w:p w14:paraId="5E42AA91">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禁配物</w:t>
            </w:r>
          </w:p>
        </w:tc>
        <w:tc>
          <w:tcPr>
            <w:tcW w:w="1379" w:type="dxa"/>
            <w:tcBorders>
              <w:right w:val="nil"/>
            </w:tcBorders>
            <w:vAlign w:val="center"/>
          </w:tcPr>
          <w:p w14:paraId="11852FF1">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强氧化剂、水、潮湿空气</w:t>
            </w:r>
          </w:p>
        </w:tc>
      </w:tr>
      <w:tr w14:paraId="0262B8AC">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277" w:type="dxa"/>
            <w:tcBorders>
              <w:left w:val="nil"/>
            </w:tcBorders>
            <w:vAlign w:val="center"/>
          </w:tcPr>
          <w:p w14:paraId="1848EEBD">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分子量</w:t>
            </w:r>
          </w:p>
        </w:tc>
        <w:tc>
          <w:tcPr>
            <w:tcW w:w="1274" w:type="dxa"/>
            <w:vAlign w:val="center"/>
          </w:tcPr>
          <w:p w14:paraId="4DD60FA8">
            <w:pPr>
              <w:spacing w:before="0" w:line="231" w:lineRule="auto"/>
              <w:ind w:left="0" w:firstLine="0" w:firstLineChars="0"/>
              <w:jc w:val="center"/>
              <w:rPr>
                <w:rFonts w:hint="default" w:ascii="Times New Roman" w:hAnsi="Times New Roman" w:eastAsia="宋体" w:cs="Times New Roman"/>
                <w:color w:val="auto"/>
                <w:spacing w:val="-2"/>
                <w:sz w:val="22"/>
                <w:szCs w:val="22"/>
              </w:rPr>
            </w:pPr>
            <w:r>
              <w:rPr>
                <w:rFonts w:hint="default" w:ascii="Times New Roman" w:hAnsi="Times New Roman" w:eastAsia="宋体" w:cs="Times New Roman"/>
                <w:color w:val="auto"/>
                <w:spacing w:val="-2"/>
                <w:sz w:val="22"/>
                <w:szCs w:val="22"/>
              </w:rPr>
              <w:t>225.31</w:t>
            </w:r>
          </w:p>
        </w:tc>
        <w:tc>
          <w:tcPr>
            <w:tcW w:w="1275" w:type="dxa"/>
            <w:vAlign w:val="center"/>
          </w:tcPr>
          <w:p w14:paraId="37A6DAFE">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游离碱含量</w:t>
            </w:r>
          </w:p>
        </w:tc>
        <w:tc>
          <w:tcPr>
            <w:tcW w:w="1274" w:type="dxa"/>
            <w:vAlign w:val="center"/>
          </w:tcPr>
          <w:p w14:paraId="3301A2B8">
            <w:pPr>
              <w:spacing w:before="0" w:line="231" w:lineRule="auto"/>
              <w:ind w:firstLine="0" w:firstLineChars="0"/>
              <w:jc w:val="center"/>
              <w:rPr>
                <w:rFonts w:hint="default" w:ascii="Times New Roman" w:hAnsi="Times New Roman" w:eastAsia="宋体" w:cs="Times New Roman"/>
                <w:color w:val="auto"/>
                <w:spacing w:val="-2"/>
                <w:sz w:val="22"/>
                <w:szCs w:val="22"/>
              </w:rPr>
            </w:pPr>
            <w:r>
              <w:rPr>
                <w:rFonts w:hint="default" w:ascii="Times New Roman" w:hAnsi="Times New Roman" w:eastAsia="宋体" w:cs="Times New Roman"/>
                <w:color w:val="auto"/>
                <w:spacing w:val="-2"/>
                <w:sz w:val="22"/>
                <w:szCs w:val="22"/>
              </w:rPr>
              <w:t>0.45%</w:t>
            </w:r>
          </w:p>
        </w:tc>
        <w:tc>
          <w:tcPr>
            <w:tcW w:w="1275" w:type="dxa"/>
            <w:vAlign w:val="center"/>
          </w:tcPr>
          <w:p w14:paraId="5A73786D">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致敏性、亚急性和慢性中毒、致癌性</w:t>
            </w:r>
          </w:p>
        </w:tc>
        <w:tc>
          <w:tcPr>
            <w:tcW w:w="1398" w:type="dxa"/>
            <w:vAlign w:val="center"/>
          </w:tcPr>
          <w:p w14:paraId="368B5D4E">
            <w:pPr>
              <w:spacing w:before="0" w:line="231" w:lineRule="auto"/>
              <w:ind w:left="0" w:righ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至今没有发现案例</w:t>
            </w:r>
          </w:p>
        </w:tc>
        <w:tc>
          <w:tcPr>
            <w:tcW w:w="2432" w:type="dxa"/>
            <w:gridSpan w:val="2"/>
            <w:vMerge w:val="restart"/>
            <w:tcBorders>
              <w:right w:val="nil"/>
              <w:tr2bl w:val="single" w:color="000000" w:sz="2" w:space="0"/>
            </w:tcBorders>
            <w:vAlign w:val="center"/>
          </w:tcPr>
          <w:p w14:paraId="205435C5">
            <w:pPr>
              <w:jc w:val="center"/>
              <w:rPr>
                <w:rFonts w:hint="default" w:ascii="Times New Roman" w:hAnsi="Times New Roman" w:cs="Times New Roman"/>
                <w:color w:val="auto"/>
                <w:sz w:val="21"/>
              </w:rPr>
            </w:pPr>
          </w:p>
        </w:tc>
      </w:tr>
      <w:tr w14:paraId="0B2A5ADA">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277" w:type="dxa"/>
            <w:tcBorders>
              <w:left w:val="nil"/>
            </w:tcBorders>
            <w:vAlign w:val="center"/>
          </w:tcPr>
          <w:p w14:paraId="33F12DD4">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含量</w:t>
            </w:r>
          </w:p>
        </w:tc>
        <w:tc>
          <w:tcPr>
            <w:tcW w:w="1274" w:type="dxa"/>
            <w:vAlign w:val="center"/>
          </w:tcPr>
          <w:p w14:paraId="575C991F">
            <w:pPr>
              <w:spacing w:before="0" w:line="231" w:lineRule="auto"/>
              <w:ind w:left="0" w:firstLine="0" w:firstLineChars="0"/>
              <w:jc w:val="center"/>
              <w:rPr>
                <w:rFonts w:hint="default" w:ascii="Times New Roman" w:hAnsi="Times New Roman" w:eastAsia="宋体" w:cs="Times New Roman"/>
                <w:color w:val="auto"/>
                <w:spacing w:val="-2"/>
                <w:sz w:val="22"/>
                <w:szCs w:val="22"/>
              </w:rPr>
            </w:pPr>
            <w:r>
              <w:rPr>
                <w:rFonts w:hint="default" w:ascii="Times New Roman" w:hAnsi="Times New Roman" w:eastAsia="宋体" w:cs="Times New Roman"/>
                <w:color w:val="auto"/>
                <w:spacing w:val="-2"/>
                <w:sz w:val="22"/>
                <w:szCs w:val="22"/>
              </w:rPr>
              <w:t>90%</w:t>
            </w:r>
          </w:p>
        </w:tc>
        <w:tc>
          <w:tcPr>
            <w:tcW w:w="1275" w:type="dxa"/>
            <w:vAlign w:val="center"/>
          </w:tcPr>
          <w:p w14:paraId="4CEAD5DB">
            <w:pPr>
              <w:spacing w:before="0" w:line="231" w:lineRule="auto"/>
              <w:ind w:left="0" w:righ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固体不溶物含量</w:t>
            </w:r>
          </w:p>
        </w:tc>
        <w:tc>
          <w:tcPr>
            <w:tcW w:w="1274" w:type="dxa"/>
            <w:vAlign w:val="center"/>
          </w:tcPr>
          <w:p w14:paraId="3EC160FB">
            <w:pPr>
              <w:spacing w:before="0" w:line="231" w:lineRule="auto"/>
              <w:ind w:left="0" w:firstLine="0" w:firstLineChars="0"/>
              <w:jc w:val="center"/>
              <w:rPr>
                <w:rFonts w:hint="default" w:ascii="Times New Roman" w:hAnsi="Times New Roman" w:eastAsia="宋体" w:cs="Times New Roman"/>
                <w:color w:val="auto"/>
                <w:spacing w:val="-2"/>
                <w:sz w:val="22"/>
                <w:szCs w:val="22"/>
              </w:rPr>
            </w:pPr>
            <w:r>
              <w:rPr>
                <w:rFonts w:hint="default" w:ascii="Times New Roman" w:hAnsi="Times New Roman" w:eastAsia="宋体" w:cs="Times New Roman"/>
                <w:color w:val="auto"/>
                <w:spacing w:val="-2"/>
                <w:sz w:val="22"/>
                <w:szCs w:val="22"/>
              </w:rPr>
              <w:t>0.008%</w:t>
            </w:r>
          </w:p>
        </w:tc>
        <w:tc>
          <w:tcPr>
            <w:tcW w:w="1275" w:type="dxa"/>
            <w:vAlign w:val="center"/>
          </w:tcPr>
          <w:p w14:paraId="00450782">
            <w:pPr>
              <w:spacing w:before="0" w:line="231" w:lineRule="auto"/>
              <w:ind w:left="0" w:righ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致畸性、致突变性</w:t>
            </w:r>
          </w:p>
        </w:tc>
        <w:tc>
          <w:tcPr>
            <w:tcW w:w="1398" w:type="dxa"/>
            <w:vAlign w:val="center"/>
          </w:tcPr>
          <w:p w14:paraId="3F0B4119">
            <w:pPr>
              <w:spacing w:before="0" w:line="231" w:lineRule="auto"/>
              <w:ind w:left="0" w:righ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至今没有发现案例</w:t>
            </w:r>
          </w:p>
        </w:tc>
        <w:tc>
          <w:tcPr>
            <w:tcW w:w="2432" w:type="dxa"/>
            <w:gridSpan w:val="2"/>
            <w:vMerge w:val="continue"/>
            <w:tcBorders>
              <w:right w:val="nil"/>
              <w:tr2bl w:val="single" w:color="000000" w:sz="2" w:space="0"/>
            </w:tcBorders>
            <w:vAlign w:val="center"/>
          </w:tcPr>
          <w:p w14:paraId="3B91A0B1">
            <w:pPr>
              <w:jc w:val="center"/>
              <w:rPr>
                <w:rFonts w:hint="default" w:ascii="Times New Roman" w:hAnsi="Times New Roman" w:cs="Times New Roman"/>
                <w:color w:val="auto"/>
                <w:sz w:val="21"/>
              </w:rPr>
            </w:pPr>
          </w:p>
        </w:tc>
      </w:tr>
      <w:tr w14:paraId="603508C3">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277" w:type="dxa"/>
            <w:tcBorders>
              <w:left w:val="nil"/>
            </w:tcBorders>
            <w:vAlign w:val="center"/>
          </w:tcPr>
          <w:p w14:paraId="36919BFE">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eastAsia="宋体" w:cs="Times New Roman"/>
                <w:color w:val="auto"/>
                <w:spacing w:val="-2"/>
                <w:sz w:val="22"/>
                <w:szCs w:val="22"/>
              </w:rPr>
              <w:t>CAS</w:t>
            </w:r>
            <w:r>
              <w:rPr>
                <w:rFonts w:hint="default" w:ascii="Times New Roman" w:hAnsi="Times New Roman" w:cs="Times New Roman"/>
                <w:color w:val="auto"/>
                <w:spacing w:val="-2"/>
                <w:sz w:val="22"/>
                <w:szCs w:val="22"/>
              </w:rPr>
              <w:t>号</w:t>
            </w:r>
          </w:p>
        </w:tc>
        <w:tc>
          <w:tcPr>
            <w:tcW w:w="1274" w:type="dxa"/>
            <w:vAlign w:val="center"/>
          </w:tcPr>
          <w:p w14:paraId="5BE4B89B">
            <w:pPr>
              <w:spacing w:before="0" w:line="231" w:lineRule="auto"/>
              <w:ind w:firstLine="0" w:firstLineChars="0"/>
              <w:jc w:val="center"/>
              <w:rPr>
                <w:rFonts w:hint="default" w:ascii="Times New Roman" w:hAnsi="Times New Roman" w:eastAsia="宋体" w:cs="Times New Roman"/>
                <w:color w:val="auto"/>
                <w:spacing w:val="-2"/>
                <w:sz w:val="22"/>
                <w:szCs w:val="22"/>
              </w:rPr>
            </w:pPr>
            <w:r>
              <w:rPr>
                <w:rFonts w:hint="default" w:ascii="Times New Roman" w:hAnsi="Times New Roman" w:eastAsia="宋体" w:cs="Times New Roman"/>
                <w:color w:val="auto"/>
                <w:spacing w:val="-2"/>
                <w:sz w:val="22"/>
                <w:szCs w:val="22"/>
              </w:rPr>
              <w:t>20624-25-3</w:t>
            </w:r>
          </w:p>
        </w:tc>
        <w:tc>
          <w:tcPr>
            <w:tcW w:w="1275" w:type="dxa"/>
            <w:vAlign w:val="center"/>
          </w:tcPr>
          <w:p w14:paraId="0FE8DFD1">
            <w:pPr>
              <w:spacing w:before="0" w:line="231" w:lineRule="auto"/>
              <w:ind w:left="0" w:righ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主要成分含量</w:t>
            </w:r>
          </w:p>
        </w:tc>
        <w:tc>
          <w:tcPr>
            <w:tcW w:w="1274" w:type="dxa"/>
            <w:vAlign w:val="center"/>
          </w:tcPr>
          <w:p w14:paraId="32EDD912">
            <w:pPr>
              <w:spacing w:before="0" w:line="231" w:lineRule="auto"/>
              <w:ind w:firstLine="0" w:firstLineChars="0"/>
              <w:jc w:val="center"/>
              <w:rPr>
                <w:rFonts w:hint="default" w:ascii="Times New Roman" w:hAnsi="Times New Roman" w:eastAsia="宋体" w:cs="Times New Roman"/>
                <w:color w:val="auto"/>
                <w:spacing w:val="-2"/>
                <w:sz w:val="22"/>
                <w:szCs w:val="22"/>
              </w:rPr>
            </w:pPr>
            <w:r>
              <w:rPr>
                <w:rFonts w:hint="default" w:ascii="Times New Roman" w:hAnsi="Times New Roman" w:eastAsia="宋体" w:cs="Times New Roman"/>
                <w:color w:val="auto"/>
                <w:spacing w:val="-2"/>
                <w:sz w:val="22"/>
                <w:szCs w:val="22"/>
              </w:rPr>
              <w:t>95%</w:t>
            </w:r>
          </w:p>
        </w:tc>
        <w:tc>
          <w:tcPr>
            <w:tcW w:w="2673" w:type="dxa"/>
            <w:gridSpan w:val="2"/>
            <w:vMerge w:val="restart"/>
            <w:tcBorders>
              <w:tr2bl w:val="single" w:color="000000" w:sz="2" w:space="0"/>
            </w:tcBorders>
            <w:vAlign w:val="center"/>
          </w:tcPr>
          <w:p w14:paraId="43A6EFE1">
            <w:pPr>
              <w:spacing w:line="231" w:lineRule="auto"/>
              <w:ind w:firstLine="0" w:firstLineChars="0"/>
              <w:jc w:val="center"/>
              <w:rPr>
                <w:rFonts w:hint="default" w:ascii="Times New Roman" w:hAnsi="Times New Roman" w:cs="Times New Roman"/>
                <w:color w:val="auto"/>
                <w:spacing w:val="-2"/>
                <w:sz w:val="22"/>
                <w:szCs w:val="22"/>
              </w:rPr>
            </w:pPr>
          </w:p>
        </w:tc>
        <w:tc>
          <w:tcPr>
            <w:tcW w:w="2432" w:type="dxa"/>
            <w:gridSpan w:val="2"/>
            <w:vMerge w:val="continue"/>
            <w:tcBorders>
              <w:right w:val="nil"/>
              <w:tr2bl w:val="single" w:color="000000" w:sz="2" w:space="0"/>
            </w:tcBorders>
            <w:vAlign w:val="center"/>
          </w:tcPr>
          <w:p w14:paraId="39D293BD">
            <w:pPr>
              <w:jc w:val="center"/>
              <w:rPr>
                <w:rFonts w:hint="default" w:ascii="Times New Roman" w:hAnsi="Times New Roman" w:cs="Times New Roman"/>
                <w:color w:val="auto"/>
                <w:sz w:val="21"/>
              </w:rPr>
            </w:pPr>
          </w:p>
        </w:tc>
      </w:tr>
      <w:tr w14:paraId="6F53EAF0">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551" w:type="dxa"/>
            <w:gridSpan w:val="2"/>
            <w:tcBorders>
              <w:left w:val="nil"/>
              <w:tr2bl w:val="single" w:color="000000" w:sz="2" w:space="0"/>
            </w:tcBorders>
            <w:vAlign w:val="center"/>
          </w:tcPr>
          <w:p w14:paraId="0EA0DB37">
            <w:pPr>
              <w:spacing w:line="231" w:lineRule="auto"/>
              <w:ind w:firstLine="0" w:firstLineChars="0"/>
              <w:jc w:val="center"/>
              <w:rPr>
                <w:rFonts w:hint="default" w:ascii="Times New Roman" w:hAnsi="Times New Roman" w:cs="Times New Roman"/>
                <w:color w:val="auto"/>
                <w:spacing w:val="-2"/>
                <w:sz w:val="22"/>
                <w:szCs w:val="22"/>
              </w:rPr>
            </w:pPr>
          </w:p>
        </w:tc>
        <w:tc>
          <w:tcPr>
            <w:tcW w:w="1275" w:type="dxa"/>
            <w:vAlign w:val="center"/>
          </w:tcPr>
          <w:p w14:paraId="06094216">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溶解性</w:t>
            </w:r>
          </w:p>
        </w:tc>
        <w:tc>
          <w:tcPr>
            <w:tcW w:w="1274" w:type="dxa"/>
            <w:vAlign w:val="center"/>
          </w:tcPr>
          <w:p w14:paraId="5B0DFC82">
            <w:pPr>
              <w:spacing w:before="0" w:line="23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溶于水、乙醇，微溶于苯、氯仿</w:t>
            </w:r>
          </w:p>
        </w:tc>
        <w:tc>
          <w:tcPr>
            <w:tcW w:w="2673" w:type="dxa"/>
            <w:gridSpan w:val="2"/>
            <w:vMerge w:val="continue"/>
            <w:tcBorders>
              <w:tr2bl w:val="single" w:color="000000" w:sz="2" w:space="0"/>
            </w:tcBorders>
            <w:vAlign w:val="center"/>
          </w:tcPr>
          <w:p w14:paraId="6C3F20B3">
            <w:pPr>
              <w:jc w:val="center"/>
              <w:rPr>
                <w:rFonts w:hint="default" w:ascii="Times New Roman" w:hAnsi="Times New Roman" w:cs="Times New Roman"/>
                <w:color w:val="auto"/>
                <w:sz w:val="21"/>
              </w:rPr>
            </w:pPr>
          </w:p>
        </w:tc>
        <w:tc>
          <w:tcPr>
            <w:tcW w:w="2432" w:type="dxa"/>
            <w:gridSpan w:val="2"/>
            <w:vMerge w:val="continue"/>
            <w:tcBorders>
              <w:right w:val="nil"/>
              <w:tr2bl w:val="single" w:color="000000" w:sz="2" w:space="0"/>
            </w:tcBorders>
            <w:vAlign w:val="center"/>
          </w:tcPr>
          <w:p w14:paraId="0937DEBD">
            <w:pPr>
              <w:jc w:val="center"/>
              <w:rPr>
                <w:rFonts w:hint="default" w:ascii="Times New Roman" w:hAnsi="Times New Roman" w:cs="Times New Roman"/>
                <w:color w:val="auto"/>
                <w:sz w:val="21"/>
              </w:rPr>
            </w:pPr>
          </w:p>
        </w:tc>
      </w:tr>
    </w:tbl>
    <w:p w14:paraId="07B583BF">
      <w:pPr>
        <w:pStyle w:val="3"/>
        <w:bidi w:val="0"/>
        <w:rPr>
          <w:rFonts w:hint="default" w:ascii="Times New Roman" w:hAnsi="Times New Roman" w:cs="Times New Roman"/>
          <w:color w:val="auto"/>
        </w:rPr>
      </w:pPr>
      <w:bookmarkStart w:id="21" w:name="_Toc6793"/>
      <w:r>
        <w:rPr>
          <w:rFonts w:hint="default" w:ascii="Times New Roman" w:hAnsi="Times New Roman" w:cs="Times New Roman"/>
          <w:color w:val="auto"/>
        </w:rPr>
        <w:t>3.4水源及水平衡</w:t>
      </w:r>
      <w:bookmarkEnd w:id="21"/>
    </w:p>
    <w:p w14:paraId="243E5C6D">
      <w:pPr>
        <w:pStyle w:val="4"/>
        <w:bidi w:val="0"/>
        <w:rPr>
          <w:rFonts w:hint="default" w:ascii="Times New Roman" w:hAnsi="Times New Roman" w:cs="Times New Roman"/>
          <w:color w:val="auto"/>
          <w:highlight w:val="none"/>
        </w:rPr>
      </w:pPr>
      <w:bookmarkStart w:id="22" w:name="_Toc19711"/>
      <w:r>
        <w:rPr>
          <w:rFonts w:hint="default" w:ascii="Times New Roman" w:hAnsi="Times New Roman" w:cs="Times New Roman"/>
          <w:color w:val="auto"/>
          <w:highlight w:val="none"/>
          <w:lang w:val="en-US" w:eastAsia="zh-CN"/>
        </w:rPr>
        <w:t>3.4.1</w:t>
      </w:r>
      <w:r>
        <w:rPr>
          <w:rFonts w:hint="default" w:ascii="Times New Roman" w:hAnsi="Times New Roman" w:cs="Times New Roman"/>
          <w:color w:val="auto"/>
          <w:highlight w:val="none"/>
        </w:rPr>
        <w:t>给水</w:t>
      </w:r>
      <w:bookmarkEnd w:id="22"/>
    </w:p>
    <w:p w14:paraId="77D4A57D">
      <w:pPr>
        <w:rPr>
          <w:rFonts w:hint="default" w:ascii="Times New Roman" w:hAnsi="Times New Roman" w:cs="Times New Roman"/>
          <w:color w:val="auto"/>
          <w:kern w:val="1"/>
          <w:u w:val="none"/>
        </w:rPr>
      </w:pPr>
      <w:r>
        <w:rPr>
          <w:rFonts w:hint="default" w:ascii="Times New Roman" w:hAnsi="Times New Roman" w:cs="Times New Roman"/>
          <w:color w:val="auto"/>
          <w:kern w:val="1"/>
          <w:u w:val="none"/>
        </w:rPr>
        <w:t>根据</w:t>
      </w:r>
      <w:r>
        <w:rPr>
          <w:rFonts w:hint="default" w:ascii="Times New Roman" w:hAnsi="Times New Roman" w:cs="Times New Roman"/>
          <w:color w:val="auto"/>
          <w:kern w:val="1"/>
          <w:u w:val="none"/>
          <w:lang w:val="en-US" w:eastAsia="zh-CN"/>
        </w:rPr>
        <w:t>目前建设单位</w:t>
      </w:r>
      <w:r>
        <w:rPr>
          <w:rFonts w:hint="default" w:ascii="Times New Roman" w:hAnsi="Times New Roman" w:cs="Times New Roman"/>
          <w:color w:val="auto"/>
          <w:kern w:val="1"/>
          <w:u w:val="none"/>
        </w:rPr>
        <w:t>实际情况，生活用水</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kern w:val="1"/>
          <w:u w:val="none"/>
          <w:lang w:val="en-US" w:eastAsia="zh-CN"/>
        </w:rPr>
        <w:t>生产用水均</w:t>
      </w:r>
      <w:r>
        <w:rPr>
          <w:rFonts w:hint="default" w:ascii="Times New Roman" w:hAnsi="Times New Roman" w:cs="Times New Roman"/>
          <w:color w:val="auto"/>
          <w:kern w:val="1"/>
          <w:u w:val="none"/>
        </w:rPr>
        <w:t>来源于市政管网供水。厂区设置</w:t>
      </w:r>
      <w:r>
        <w:rPr>
          <w:rFonts w:hint="default" w:ascii="Times New Roman" w:hAnsi="Times New Roman" w:cs="Times New Roman"/>
          <w:color w:val="auto"/>
          <w:kern w:val="1"/>
          <w:u w:val="none"/>
          <w:lang w:val="en-US" w:eastAsia="zh-CN"/>
        </w:rPr>
        <w:t>消防</w:t>
      </w:r>
      <w:r>
        <w:rPr>
          <w:rFonts w:hint="default" w:ascii="Times New Roman" w:hAnsi="Times New Roman" w:cs="Times New Roman"/>
          <w:color w:val="auto"/>
          <w:kern w:val="1"/>
          <w:u w:val="none"/>
        </w:rPr>
        <w:t>蓄水池，蓄水池有效容积为240m³。蓄水池旁设置一给水泵房，包括生活泵两台，型号为50AAB12-20-2.2，Q=12m³/h，H=30m，N=2.2KW，一用一备；消防泵两台，型号为XBD5/20-QL，Q=20L/s，H=0.5MPa，N=22KW，一用一备。根据工程分析，本项目用水包括员工生活用水、预处理工艺用水、预处理车间冲洗水、绿化用水等，则</w:t>
      </w:r>
      <w:r>
        <w:rPr>
          <w:rFonts w:hint="default" w:ascii="Times New Roman" w:hAnsi="Times New Roman" w:cs="Times New Roman"/>
          <w:color w:val="auto"/>
          <w:kern w:val="1"/>
          <w:u w:val="none"/>
          <w:lang w:eastAsia="zh-CN"/>
        </w:rPr>
        <w:t>改扩建</w:t>
      </w:r>
      <w:r>
        <w:rPr>
          <w:rFonts w:hint="default" w:ascii="Times New Roman" w:hAnsi="Times New Roman" w:cs="Times New Roman"/>
          <w:color w:val="auto"/>
          <w:kern w:val="1"/>
          <w:u w:val="none"/>
        </w:rPr>
        <w:t>工程</w:t>
      </w:r>
      <w:r>
        <w:rPr>
          <w:rFonts w:hint="default" w:ascii="Times New Roman" w:hAnsi="Times New Roman" w:cs="Times New Roman"/>
          <w:color w:val="auto"/>
          <w:kern w:val="1"/>
          <w:u w:val="none"/>
          <w:lang w:val="en-US" w:eastAsia="zh-CN"/>
        </w:rPr>
        <w:t>环评</w:t>
      </w:r>
      <w:r>
        <w:rPr>
          <w:rFonts w:hint="default" w:ascii="Times New Roman" w:hAnsi="Times New Roman" w:cs="Times New Roman"/>
          <w:color w:val="auto"/>
          <w:kern w:val="1"/>
          <w:u w:val="none"/>
        </w:rPr>
        <w:t>用水情况详见表</w:t>
      </w:r>
      <w:r>
        <w:rPr>
          <w:rFonts w:hint="default" w:ascii="Times New Roman" w:hAnsi="Times New Roman" w:cs="Times New Roman"/>
          <w:color w:val="auto"/>
          <w:kern w:val="1"/>
          <w:u w:val="none"/>
          <w:lang w:val="en-US" w:eastAsia="zh-CN"/>
        </w:rPr>
        <w:t>3</w:t>
      </w:r>
      <w:r>
        <w:rPr>
          <w:rFonts w:hint="default" w:ascii="Times New Roman" w:hAnsi="Times New Roman" w:cs="Times New Roman"/>
          <w:color w:val="auto"/>
          <w:kern w:val="1"/>
          <w:u w:val="none"/>
        </w:rPr>
        <w:t>.</w:t>
      </w:r>
      <w:r>
        <w:rPr>
          <w:rFonts w:hint="default" w:ascii="Times New Roman" w:hAnsi="Times New Roman" w:cs="Times New Roman"/>
          <w:color w:val="auto"/>
          <w:kern w:val="1"/>
          <w:u w:val="none"/>
          <w:lang w:val="en-US" w:eastAsia="zh-CN"/>
        </w:rPr>
        <w:t>4</w:t>
      </w:r>
      <w:r>
        <w:rPr>
          <w:rFonts w:hint="default" w:ascii="Times New Roman" w:hAnsi="Times New Roman" w:cs="Times New Roman"/>
          <w:color w:val="auto"/>
          <w:kern w:val="1"/>
          <w:u w:val="none"/>
        </w:rPr>
        <w:t>-</w:t>
      </w:r>
      <w:r>
        <w:rPr>
          <w:rFonts w:hint="default" w:ascii="Times New Roman" w:hAnsi="Times New Roman" w:cs="Times New Roman"/>
          <w:color w:val="auto"/>
          <w:kern w:val="1"/>
          <w:u w:val="none"/>
          <w:lang w:val="en-US" w:eastAsia="zh-CN"/>
        </w:rPr>
        <w:t>1，</w:t>
      </w:r>
      <w:r>
        <w:rPr>
          <w:rFonts w:hint="default" w:ascii="Times New Roman" w:hAnsi="Times New Roman" w:cs="Times New Roman"/>
          <w:color w:val="auto"/>
          <w:kern w:val="1"/>
          <w:u w:val="none"/>
          <w:lang w:eastAsia="zh-CN"/>
        </w:rPr>
        <w:t>改扩建</w:t>
      </w:r>
      <w:r>
        <w:rPr>
          <w:rFonts w:hint="default" w:ascii="Times New Roman" w:hAnsi="Times New Roman" w:cs="Times New Roman"/>
          <w:color w:val="auto"/>
          <w:kern w:val="1"/>
          <w:u w:val="none"/>
        </w:rPr>
        <w:t>工程</w:t>
      </w:r>
      <w:r>
        <w:rPr>
          <w:rFonts w:hint="default" w:ascii="Times New Roman" w:hAnsi="Times New Roman" w:cs="Times New Roman"/>
          <w:color w:val="auto"/>
          <w:kern w:val="1"/>
          <w:u w:val="none"/>
          <w:lang w:val="en-US" w:eastAsia="zh-CN"/>
        </w:rPr>
        <w:t>实际</w:t>
      </w:r>
      <w:r>
        <w:rPr>
          <w:rFonts w:hint="default" w:ascii="Times New Roman" w:hAnsi="Times New Roman" w:cs="Times New Roman"/>
          <w:color w:val="auto"/>
          <w:kern w:val="1"/>
          <w:u w:val="none"/>
        </w:rPr>
        <w:t>用水情况详见表</w:t>
      </w:r>
      <w:r>
        <w:rPr>
          <w:rFonts w:hint="default" w:ascii="Times New Roman" w:hAnsi="Times New Roman" w:cs="Times New Roman"/>
          <w:color w:val="auto"/>
          <w:kern w:val="1"/>
          <w:u w:val="none"/>
          <w:lang w:val="en-US" w:eastAsia="zh-CN"/>
        </w:rPr>
        <w:t>3</w:t>
      </w:r>
      <w:r>
        <w:rPr>
          <w:rFonts w:hint="default" w:ascii="Times New Roman" w:hAnsi="Times New Roman" w:cs="Times New Roman"/>
          <w:color w:val="auto"/>
          <w:kern w:val="1"/>
          <w:u w:val="none"/>
        </w:rPr>
        <w:t>.</w:t>
      </w:r>
      <w:r>
        <w:rPr>
          <w:rFonts w:hint="default" w:ascii="Times New Roman" w:hAnsi="Times New Roman" w:cs="Times New Roman"/>
          <w:color w:val="auto"/>
          <w:kern w:val="1"/>
          <w:u w:val="none"/>
          <w:lang w:val="en-US" w:eastAsia="zh-CN"/>
        </w:rPr>
        <w:t>4</w:t>
      </w:r>
      <w:r>
        <w:rPr>
          <w:rFonts w:hint="default" w:ascii="Times New Roman" w:hAnsi="Times New Roman" w:cs="Times New Roman"/>
          <w:color w:val="auto"/>
          <w:kern w:val="1"/>
          <w:u w:val="none"/>
        </w:rPr>
        <w:t>-</w:t>
      </w:r>
      <w:r>
        <w:rPr>
          <w:rFonts w:hint="default" w:ascii="Times New Roman" w:hAnsi="Times New Roman" w:cs="Times New Roman"/>
          <w:color w:val="auto"/>
          <w:kern w:val="1"/>
          <w:u w:val="none"/>
          <w:lang w:val="en-US" w:eastAsia="zh-CN"/>
        </w:rPr>
        <w:t>2</w:t>
      </w:r>
      <w:r>
        <w:rPr>
          <w:rFonts w:hint="default" w:ascii="Times New Roman" w:hAnsi="Times New Roman" w:cs="Times New Roman"/>
          <w:color w:val="auto"/>
          <w:kern w:val="1"/>
          <w:u w:val="none"/>
        </w:rPr>
        <w:t>。</w:t>
      </w:r>
    </w:p>
    <w:p w14:paraId="069CD248">
      <w:pPr>
        <w:pStyle w:val="21"/>
        <w:bidi w:val="0"/>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cs="Times New Roman"/>
          <w:color w:val="auto"/>
          <w:lang w:val="en-US" w:eastAsia="zh-CN"/>
        </w:rPr>
        <w:t>3.4</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default" w:ascii="Times New Roman" w:hAnsi="Times New Roman" w:cs="Times New Roman"/>
          <w:color w:val="auto"/>
        </w:rPr>
        <w:t xml:space="preserve">  </w:t>
      </w:r>
      <w:r>
        <w:rPr>
          <w:rFonts w:hint="default" w:ascii="Times New Roman" w:hAnsi="Times New Roman" w:cs="Times New Roman"/>
          <w:color w:val="auto"/>
          <w:lang w:eastAsia="zh-CN"/>
        </w:rPr>
        <w:t>改扩建</w:t>
      </w:r>
      <w:r>
        <w:rPr>
          <w:rFonts w:hint="default" w:ascii="Times New Roman" w:hAnsi="Times New Roman" w:cs="Times New Roman"/>
          <w:color w:val="auto"/>
        </w:rPr>
        <w:t>工程</w:t>
      </w:r>
      <w:r>
        <w:rPr>
          <w:rFonts w:hint="default" w:ascii="Times New Roman" w:hAnsi="Times New Roman" w:cs="Times New Roman"/>
          <w:color w:val="auto"/>
          <w:lang w:val="en-US" w:eastAsia="zh-CN"/>
        </w:rPr>
        <w:t>环评</w:t>
      </w:r>
      <w:r>
        <w:rPr>
          <w:rFonts w:hint="default" w:ascii="Times New Roman" w:hAnsi="Times New Roman" w:cs="Times New Roman"/>
          <w:color w:val="auto"/>
        </w:rPr>
        <w:t>用水情况表</w:t>
      </w:r>
    </w:p>
    <w:tbl>
      <w:tblPr>
        <w:tblStyle w:val="14"/>
        <w:tblW w:w="9071" w:type="dxa"/>
        <w:jc w:val="center"/>
        <w:tblLayout w:type="fixed"/>
        <w:tblCellMar>
          <w:top w:w="0" w:type="dxa"/>
          <w:left w:w="108" w:type="dxa"/>
          <w:bottom w:w="0" w:type="dxa"/>
          <w:right w:w="108" w:type="dxa"/>
        </w:tblCellMar>
      </w:tblPr>
      <w:tblGrid>
        <w:gridCol w:w="1958"/>
        <w:gridCol w:w="3163"/>
        <w:gridCol w:w="2330"/>
        <w:gridCol w:w="1620"/>
      </w:tblGrid>
      <w:tr w14:paraId="09046904">
        <w:tblPrEx>
          <w:tblCellMar>
            <w:top w:w="0" w:type="dxa"/>
            <w:left w:w="108" w:type="dxa"/>
            <w:bottom w:w="0" w:type="dxa"/>
            <w:right w:w="108" w:type="dxa"/>
          </w:tblCellMar>
        </w:tblPrEx>
        <w:trPr>
          <w:trHeight w:val="340" w:hRule="atLeast"/>
          <w:jc w:val="center"/>
        </w:trPr>
        <w:tc>
          <w:tcPr>
            <w:tcW w:w="2004" w:type="dxa"/>
            <w:tcBorders>
              <w:top w:val="single" w:color="000000" w:sz="12" w:space="0"/>
              <w:bottom w:val="single" w:color="000000" w:sz="4" w:space="0"/>
              <w:right w:val="single" w:color="000000" w:sz="4" w:space="0"/>
            </w:tcBorders>
            <w:noWrap w:val="0"/>
            <w:vAlign w:val="center"/>
          </w:tcPr>
          <w:p w14:paraId="7532243C">
            <w:pPr>
              <w:pStyle w:val="23"/>
              <w:bidi w:val="0"/>
              <w:rPr>
                <w:rFonts w:hint="default" w:ascii="Times New Roman" w:hAnsi="Times New Roman" w:cs="Times New Roman"/>
                <w:color w:val="auto"/>
              </w:rPr>
            </w:pPr>
            <w:r>
              <w:rPr>
                <w:rFonts w:hint="default" w:ascii="Times New Roman" w:hAnsi="Times New Roman" w:cs="Times New Roman"/>
                <w:color w:val="auto"/>
              </w:rPr>
              <w:t>类别</w:t>
            </w:r>
          </w:p>
        </w:tc>
        <w:tc>
          <w:tcPr>
            <w:tcW w:w="3240" w:type="dxa"/>
            <w:tcBorders>
              <w:top w:val="single" w:color="000000" w:sz="12" w:space="0"/>
              <w:left w:val="single" w:color="000000" w:sz="4" w:space="0"/>
              <w:bottom w:val="single" w:color="000000" w:sz="4" w:space="0"/>
              <w:right w:val="single" w:color="000000" w:sz="4" w:space="0"/>
            </w:tcBorders>
            <w:noWrap w:val="0"/>
            <w:vAlign w:val="center"/>
          </w:tcPr>
          <w:p w14:paraId="3EEC44CF">
            <w:pPr>
              <w:pStyle w:val="23"/>
              <w:bidi w:val="0"/>
              <w:rPr>
                <w:rFonts w:hint="default" w:ascii="Times New Roman" w:hAnsi="Times New Roman" w:cs="Times New Roman"/>
                <w:color w:val="auto"/>
              </w:rPr>
            </w:pPr>
            <w:r>
              <w:rPr>
                <w:rFonts w:hint="default" w:ascii="Times New Roman" w:hAnsi="Times New Roman" w:cs="Times New Roman"/>
                <w:color w:val="auto"/>
              </w:rPr>
              <w:t>用水定额</w:t>
            </w:r>
          </w:p>
        </w:tc>
        <w:tc>
          <w:tcPr>
            <w:tcW w:w="2385" w:type="dxa"/>
            <w:tcBorders>
              <w:top w:val="single" w:color="000000" w:sz="12" w:space="0"/>
              <w:left w:val="single" w:color="000000" w:sz="4" w:space="0"/>
              <w:bottom w:val="single" w:color="000000" w:sz="4" w:space="0"/>
              <w:right w:val="single" w:color="000000" w:sz="4" w:space="0"/>
            </w:tcBorders>
            <w:noWrap w:val="0"/>
            <w:vAlign w:val="center"/>
          </w:tcPr>
          <w:p w14:paraId="48FD16FF">
            <w:pPr>
              <w:pStyle w:val="23"/>
              <w:bidi w:val="0"/>
              <w:rPr>
                <w:rFonts w:hint="default" w:ascii="Times New Roman" w:hAnsi="Times New Roman" w:cs="Times New Roman"/>
                <w:color w:val="auto"/>
              </w:rPr>
            </w:pPr>
            <w:r>
              <w:rPr>
                <w:rFonts w:hint="default" w:ascii="Times New Roman" w:hAnsi="Times New Roman" w:cs="Times New Roman"/>
                <w:color w:val="auto"/>
              </w:rPr>
              <w:t>最高日用水量（</w:t>
            </w:r>
            <w:r>
              <w:rPr>
                <w:rFonts w:hint="default" w:ascii="Times New Roman" w:hAnsi="Times New Roman" w:cs="Times New Roman"/>
                <w:color w:val="auto"/>
                <w:lang w:val="en-US" w:eastAsia="zh-CN"/>
              </w:rPr>
              <w:t>m³</w:t>
            </w:r>
            <w:r>
              <w:rPr>
                <w:rFonts w:hint="default" w:ascii="Times New Roman" w:hAnsi="Times New Roman" w:cs="Times New Roman"/>
                <w:color w:val="auto"/>
              </w:rPr>
              <w:t>/d）</w:t>
            </w:r>
          </w:p>
        </w:tc>
        <w:tc>
          <w:tcPr>
            <w:tcW w:w="1657" w:type="dxa"/>
            <w:tcBorders>
              <w:top w:val="single" w:color="000000" w:sz="12" w:space="0"/>
              <w:left w:val="single" w:color="000000" w:sz="4" w:space="0"/>
              <w:bottom w:val="single" w:color="000000" w:sz="4" w:space="0"/>
            </w:tcBorders>
            <w:noWrap w:val="0"/>
            <w:vAlign w:val="center"/>
          </w:tcPr>
          <w:p w14:paraId="13FDC412">
            <w:pPr>
              <w:pStyle w:val="23"/>
              <w:bidi w:val="0"/>
              <w:rPr>
                <w:rFonts w:hint="default" w:ascii="Times New Roman" w:hAnsi="Times New Roman" w:cs="Times New Roman"/>
                <w:color w:val="auto"/>
              </w:rPr>
            </w:pPr>
            <w:r>
              <w:rPr>
                <w:rFonts w:hint="default" w:ascii="Times New Roman" w:hAnsi="Times New Roman" w:cs="Times New Roman"/>
                <w:color w:val="auto"/>
              </w:rPr>
              <w:t>备注</w:t>
            </w:r>
          </w:p>
        </w:tc>
      </w:tr>
      <w:tr w14:paraId="3B2F822C">
        <w:tblPrEx>
          <w:tblCellMar>
            <w:top w:w="0" w:type="dxa"/>
            <w:left w:w="108" w:type="dxa"/>
            <w:bottom w:w="0" w:type="dxa"/>
            <w:right w:w="108" w:type="dxa"/>
          </w:tblCellMar>
        </w:tblPrEx>
        <w:trPr>
          <w:trHeight w:val="340" w:hRule="atLeast"/>
          <w:jc w:val="center"/>
        </w:trPr>
        <w:tc>
          <w:tcPr>
            <w:tcW w:w="2004" w:type="dxa"/>
            <w:tcBorders>
              <w:top w:val="single" w:color="000000" w:sz="4" w:space="0"/>
              <w:bottom w:val="single" w:color="000000" w:sz="4" w:space="0"/>
              <w:right w:val="single" w:color="000000" w:sz="4" w:space="0"/>
            </w:tcBorders>
            <w:noWrap w:val="0"/>
            <w:vAlign w:val="center"/>
          </w:tcPr>
          <w:p w14:paraId="53E0AB6A">
            <w:pPr>
              <w:pStyle w:val="23"/>
              <w:bidi w:val="0"/>
              <w:rPr>
                <w:rFonts w:hint="default" w:ascii="Times New Roman" w:hAnsi="Times New Roman" w:cs="Times New Roman"/>
                <w:color w:val="auto"/>
              </w:rPr>
            </w:pPr>
            <w:r>
              <w:rPr>
                <w:rFonts w:hint="default" w:ascii="Times New Roman" w:hAnsi="Times New Roman" w:cs="Times New Roman"/>
                <w:color w:val="auto"/>
              </w:rPr>
              <w:t>生活用水量</w:t>
            </w:r>
          </w:p>
        </w:tc>
        <w:tc>
          <w:tcPr>
            <w:tcW w:w="3240" w:type="dxa"/>
            <w:tcBorders>
              <w:top w:val="single" w:color="000000" w:sz="4" w:space="0"/>
              <w:left w:val="single" w:color="000000" w:sz="4" w:space="0"/>
              <w:bottom w:val="single" w:color="000000" w:sz="4" w:space="0"/>
              <w:right w:val="single" w:color="000000" w:sz="4" w:space="0"/>
            </w:tcBorders>
            <w:noWrap w:val="0"/>
            <w:vAlign w:val="center"/>
          </w:tcPr>
          <w:p w14:paraId="37B9B12B">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200</w:t>
            </w:r>
            <w:r>
              <w:rPr>
                <w:rFonts w:hint="default" w:ascii="Times New Roman" w:hAnsi="Times New Roman" w:cs="Times New Roman"/>
                <w:color w:val="auto"/>
              </w:rPr>
              <w:t>L/人.d</w:t>
            </w:r>
          </w:p>
        </w:tc>
        <w:tc>
          <w:tcPr>
            <w:tcW w:w="2385" w:type="dxa"/>
            <w:tcBorders>
              <w:top w:val="single" w:color="000000" w:sz="4" w:space="0"/>
              <w:left w:val="single" w:color="000000" w:sz="4" w:space="0"/>
              <w:bottom w:val="single" w:color="000000" w:sz="4" w:space="0"/>
              <w:right w:val="single" w:color="000000" w:sz="4" w:space="0"/>
            </w:tcBorders>
            <w:noWrap w:val="0"/>
            <w:vAlign w:val="center"/>
          </w:tcPr>
          <w:p w14:paraId="76897595">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1.6</w:t>
            </w:r>
          </w:p>
        </w:tc>
        <w:tc>
          <w:tcPr>
            <w:tcW w:w="1657" w:type="dxa"/>
            <w:tcBorders>
              <w:top w:val="single" w:color="000000" w:sz="4" w:space="0"/>
              <w:left w:val="single" w:color="000000" w:sz="4" w:space="0"/>
              <w:bottom w:val="single" w:color="000000" w:sz="4" w:space="0"/>
            </w:tcBorders>
            <w:noWrap w:val="0"/>
            <w:vAlign w:val="center"/>
          </w:tcPr>
          <w:p w14:paraId="74FF57F3">
            <w:pPr>
              <w:pStyle w:val="23"/>
              <w:bidi w:val="0"/>
              <w:rPr>
                <w:rFonts w:hint="default" w:ascii="Times New Roman" w:hAnsi="Times New Roman" w:cs="Times New Roman"/>
                <w:color w:val="auto"/>
              </w:rPr>
            </w:pPr>
            <w:r>
              <w:rPr>
                <w:rFonts w:hint="default" w:ascii="Times New Roman" w:hAnsi="Times New Roman" w:cs="Times New Roman"/>
                <w:color w:val="auto"/>
              </w:rPr>
              <w:t>新增员工8人</w:t>
            </w:r>
          </w:p>
        </w:tc>
      </w:tr>
      <w:tr w14:paraId="3DDE4014">
        <w:tblPrEx>
          <w:tblCellMar>
            <w:top w:w="0" w:type="dxa"/>
            <w:left w:w="108" w:type="dxa"/>
            <w:bottom w:w="0" w:type="dxa"/>
            <w:right w:w="108" w:type="dxa"/>
          </w:tblCellMar>
        </w:tblPrEx>
        <w:trPr>
          <w:trHeight w:val="340" w:hRule="atLeast"/>
          <w:jc w:val="center"/>
        </w:trPr>
        <w:tc>
          <w:tcPr>
            <w:tcW w:w="2004" w:type="dxa"/>
            <w:tcBorders>
              <w:top w:val="single" w:color="000000" w:sz="4" w:space="0"/>
              <w:bottom w:val="single" w:color="000000" w:sz="4" w:space="0"/>
              <w:right w:val="single" w:color="000000" w:sz="4" w:space="0"/>
            </w:tcBorders>
            <w:noWrap w:val="0"/>
            <w:vAlign w:val="center"/>
          </w:tcPr>
          <w:p w14:paraId="2E100E14">
            <w:pPr>
              <w:pStyle w:val="23"/>
              <w:bidi w:val="0"/>
              <w:rPr>
                <w:rFonts w:hint="default" w:ascii="Times New Roman" w:hAnsi="Times New Roman" w:cs="Times New Roman"/>
                <w:color w:val="auto"/>
              </w:rPr>
            </w:pPr>
            <w:r>
              <w:rPr>
                <w:rFonts w:hint="default" w:ascii="Times New Roman" w:hAnsi="Times New Roman" w:cs="Times New Roman"/>
                <w:color w:val="auto"/>
              </w:rPr>
              <w:t>预处理工艺用水</w:t>
            </w:r>
          </w:p>
        </w:tc>
        <w:tc>
          <w:tcPr>
            <w:tcW w:w="3240" w:type="dxa"/>
            <w:tcBorders>
              <w:top w:val="single" w:color="000000" w:sz="4" w:space="0"/>
              <w:left w:val="single" w:color="000000" w:sz="4" w:space="0"/>
              <w:bottom w:val="single" w:color="000000" w:sz="4" w:space="0"/>
              <w:right w:val="single" w:color="000000" w:sz="4" w:space="0"/>
            </w:tcBorders>
            <w:noWrap w:val="0"/>
            <w:vAlign w:val="center"/>
          </w:tcPr>
          <w:p w14:paraId="0D0D169D">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飞灰：螯合剂：水=100</w:t>
            </w:r>
            <w:r>
              <w:rPr>
                <w:rFonts w:hint="eastAsia" w:ascii="Times New Roman" w:hAnsi="Times New Roman" w:cs="Times New Roman"/>
                <w:color w:val="auto"/>
                <w:lang w:eastAsia="zh-CN"/>
              </w:rPr>
              <w:t>：</w:t>
            </w:r>
            <w:r>
              <w:rPr>
                <w:rFonts w:hint="default" w:ascii="Times New Roman" w:hAnsi="Times New Roman" w:cs="Times New Roman"/>
                <w:color w:val="auto"/>
                <w:lang w:val="en-US" w:eastAsia="zh-CN"/>
              </w:rPr>
              <w:t>2.5</w:t>
            </w:r>
            <w:r>
              <w:rPr>
                <w:rFonts w:hint="eastAsia" w:ascii="Times New Roman" w:hAnsi="Times New Roman" w:cs="Times New Roman"/>
                <w:color w:val="auto"/>
                <w:lang w:eastAsia="zh-CN"/>
              </w:rPr>
              <w:t>：</w:t>
            </w:r>
            <w:r>
              <w:rPr>
                <w:rFonts w:hint="default" w:ascii="Times New Roman" w:hAnsi="Times New Roman" w:cs="Times New Roman"/>
                <w:color w:val="auto"/>
                <w:lang w:val="en-US" w:eastAsia="zh-CN"/>
              </w:rPr>
              <w:t>40</w:t>
            </w:r>
          </w:p>
        </w:tc>
        <w:tc>
          <w:tcPr>
            <w:tcW w:w="2385" w:type="dxa"/>
            <w:tcBorders>
              <w:top w:val="single" w:color="000000" w:sz="4" w:space="0"/>
              <w:left w:val="single" w:color="000000" w:sz="4" w:space="0"/>
              <w:bottom w:val="single" w:color="000000" w:sz="4" w:space="0"/>
              <w:right w:val="single" w:color="000000" w:sz="4" w:space="0"/>
            </w:tcBorders>
            <w:noWrap w:val="0"/>
            <w:vAlign w:val="center"/>
          </w:tcPr>
          <w:p w14:paraId="14CCE437">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40.0</w:t>
            </w:r>
          </w:p>
        </w:tc>
        <w:tc>
          <w:tcPr>
            <w:tcW w:w="1657" w:type="dxa"/>
            <w:tcBorders>
              <w:top w:val="single" w:color="000000" w:sz="4" w:space="0"/>
              <w:left w:val="single" w:color="000000" w:sz="4" w:space="0"/>
              <w:bottom w:val="single" w:color="000000" w:sz="4" w:space="0"/>
            </w:tcBorders>
            <w:noWrap w:val="0"/>
            <w:vAlign w:val="center"/>
          </w:tcPr>
          <w:p w14:paraId="384D6219">
            <w:pPr>
              <w:pStyle w:val="23"/>
              <w:bidi w:val="0"/>
              <w:rPr>
                <w:rFonts w:hint="default" w:ascii="Times New Roman" w:hAnsi="Times New Roman" w:cs="Times New Roman"/>
                <w:color w:val="auto"/>
              </w:rPr>
            </w:pPr>
            <w:r>
              <w:rPr>
                <w:rFonts w:hint="default" w:ascii="Times New Roman" w:hAnsi="Times New Roman" w:cs="Times New Roman"/>
                <w:color w:val="auto"/>
              </w:rPr>
              <w:t>为本次新增</w:t>
            </w:r>
          </w:p>
        </w:tc>
      </w:tr>
      <w:tr w14:paraId="31818141">
        <w:tblPrEx>
          <w:tblCellMar>
            <w:top w:w="0" w:type="dxa"/>
            <w:left w:w="108" w:type="dxa"/>
            <w:bottom w:w="0" w:type="dxa"/>
            <w:right w:w="108" w:type="dxa"/>
          </w:tblCellMar>
        </w:tblPrEx>
        <w:trPr>
          <w:trHeight w:val="340" w:hRule="atLeast"/>
          <w:jc w:val="center"/>
        </w:trPr>
        <w:tc>
          <w:tcPr>
            <w:tcW w:w="2004" w:type="dxa"/>
            <w:tcBorders>
              <w:top w:val="single" w:color="000000" w:sz="4" w:space="0"/>
              <w:bottom w:val="single" w:color="000000" w:sz="4" w:space="0"/>
              <w:right w:val="single" w:color="000000" w:sz="4" w:space="0"/>
            </w:tcBorders>
            <w:noWrap w:val="0"/>
            <w:vAlign w:val="center"/>
          </w:tcPr>
          <w:p w14:paraId="36146C59">
            <w:pPr>
              <w:pStyle w:val="23"/>
              <w:bidi w:val="0"/>
              <w:rPr>
                <w:rFonts w:hint="default" w:ascii="Times New Roman" w:hAnsi="Times New Roman" w:cs="Times New Roman"/>
                <w:color w:val="auto"/>
              </w:rPr>
            </w:pPr>
            <w:r>
              <w:rPr>
                <w:rFonts w:hint="default" w:ascii="Times New Roman" w:hAnsi="Times New Roman" w:cs="Times New Roman"/>
                <w:color w:val="auto"/>
              </w:rPr>
              <w:t>预处理车间</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洗车台</w:t>
            </w:r>
            <w:r>
              <w:rPr>
                <w:rFonts w:hint="default" w:ascii="Times New Roman" w:hAnsi="Times New Roman" w:cs="Times New Roman"/>
                <w:color w:val="auto"/>
              </w:rPr>
              <w:t>冲洗水</w:t>
            </w:r>
          </w:p>
        </w:tc>
        <w:tc>
          <w:tcPr>
            <w:tcW w:w="3240" w:type="dxa"/>
            <w:tcBorders>
              <w:top w:val="single" w:color="000000" w:sz="4" w:space="0"/>
              <w:left w:val="single" w:color="000000" w:sz="4" w:space="0"/>
              <w:bottom w:val="single" w:color="000000" w:sz="4" w:space="0"/>
              <w:right w:val="single" w:color="000000" w:sz="4" w:space="0"/>
            </w:tcBorders>
            <w:noWrap w:val="0"/>
            <w:vAlign w:val="center"/>
          </w:tcPr>
          <w:p w14:paraId="1526019E">
            <w:pPr>
              <w:pStyle w:val="23"/>
              <w:bidi w:val="0"/>
              <w:rPr>
                <w:rFonts w:hint="default" w:ascii="Times New Roman" w:hAnsi="Times New Roman" w:cs="Times New Roman"/>
                <w:color w:val="auto"/>
              </w:rPr>
            </w:pPr>
          </w:p>
        </w:tc>
        <w:tc>
          <w:tcPr>
            <w:tcW w:w="2385" w:type="dxa"/>
            <w:tcBorders>
              <w:top w:val="single" w:color="000000" w:sz="4" w:space="0"/>
              <w:left w:val="single" w:color="000000" w:sz="4" w:space="0"/>
              <w:bottom w:val="single" w:color="000000" w:sz="4" w:space="0"/>
              <w:right w:val="single" w:color="000000" w:sz="4" w:space="0"/>
            </w:tcBorders>
            <w:noWrap w:val="0"/>
            <w:vAlign w:val="center"/>
          </w:tcPr>
          <w:p w14:paraId="71C99AF3">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w:t>
            </w:r>
          </w:p>
        </w:tc>
        <w:tc>
          <w:tcPr>
            <w:tcW w:w="1657" w:type="dxa"/>
            <w:tcBorders>
              <w:top w:val="single" w:color="000000" w:sz="4" w:space="0"/>
              <w:left w:val="single" w:color="000000" w:sz="4" w:space="0"/>
              <w:bottom w:val="single" w:color="000000" w:sz="4" w:space="0"/>
            </w:tcBorders>
            <w:noWrap w:val="0"/>
            <w:vAlign w:val="center"/>
          </w:tcPr>
          <w:p w14:paraId="45FC99BB">
            <w:pPr>
              <w:pStyle w:val="23"/>
              <w:bidi w:val="0"/>
              <w:rPr>
                <w:rFonts w:hint="default" w:ascii="Times New Roman" w:hAnsi="Times New Roman" w:cs="Times New Roman"/>
                <w:color w:val="auto"/>
              </w:rPr>
            </w:pPr>
            <w:r>
              <w:rPr>
                <w:rFonts w:hint="default" w:ascii="Times New Roman" w:hAnsi="Times New Roman" w:cs="Times New Roman"/>
                <w:color w:val="auto"/>
              </w:rPr>
              <w:t>为本次新增</w:t>
            </w:r>
          </w:p>
        </w:tc>
      </w:tr>
      <w:tr w14:paraId="1BF95446">
        <w:tblPrEx>
          <w:tblCellMar>
            <w:top w:w="0" w:type="dxa"/>
            <w:left w:w="108" w:type="dxa"/>
            <w:bottom w:w="0" w:type="dxa"/>
            <w:right w:w="108" w:type="dxa"/>
          </w:tblCellMar>
        </w:tblPrEx>
        <w:trPr>
          <w:trHeight w:val="340" w:hRule="atLeast"/>
          <w:jc w:val="center"/>
        </w:trPr>
        <w:tc>
          <w:tcPr>
            <w:tcW w:w="2004" w:type="dxa"/>
            <w:tcBorders>
              <w:top w:val="single" w:color="000000" w:sz="4" w:space="0"/>
              <w:bottom w:val="single" w:color="000000" w:sz="4" w:space="0"/>
              <w:right w:val="single" w:color="000000" w:sz="4" w:space="0"/>
            </w:tcBorders>
            <w:noWrap w:val="0"/>
            <w:vAlign w:val="center"/>
          </w:tcPr>
          <w:p w14:paraId="6F4B650C">
            <w:pPr>
              <w:pStyle w:val="23"/>
              <w:bidi w:val="0"/>
              <w:rPr>
                <w:rFonts w:hint="default" w:ascii="Times New Roman" w:hAnsi="Times New Roman" w:cs="Times New Roman"/>
                <w:color w:val="auto"/>
              </w:rPr>
            </w:pPr>
            <w:r>
              <w:rPr>
                <w:rFonts w:hint="default" w:ascii="Times New Roman" w:hAnsi="Times New Roman" w:cs="Times New Roman"/>
                <w:color w:val="auto"/>
              </w:rPr>
              <w:t>未预见用水量</w:t>
            </w:r>
          </w:p>
        </w:tc>
        <w:tc>
          <w:tcPr>
            <w:tcW w:w="3240" w:type="dxa"/>
            <w:tcBorders>
              <w:top w:val="single" w:color="000000" w:sz="4" w:space="0"/>
              <w:left w:val="single" w:color="000000" w:sz="4" w:space="0"/>
              <w:bottom w:val="single" w:color="000000" w:sz="4" w:space="0"/>
              <w:right w:val="single" w:color="000000" w:sz="4" w:space="0"/>
            </w:tcBorders>
            <w:noWrap w:val="0"/>
            <w:vAlign w:val="center"/>
          </w:tcPr>
          <w:p w14:paraId="7F98B4C9">
            <w:pPr>
              <w:pStyle w:val="23"/>
              <w:bidi w:val="0"/>
              <w:rPr>
                <w:rFonts w:hint="default" w:ascii="Times New Roman" w:hAnsi="Times New Roman" w:cs="Times New Roman"/>
                <w:color w:val="auto"/>
              </w:rPr>
            </w:pPr>
          </w:p>
        </w:tc>
        <w:tc>
          <w:tcPr>
            <w:tcW w:w="2385" w:type="dxa"/>
            <w:tcBorders>
              <w:top w:val="single" w:color="000000" w:sz="4" w:space="0"/>
              <w:left w:val="single" w:color="000000" w:sz="4" w:space="0"/>
              <w:bottom w:val="single" w:color="000000" w:sz="4" w:space="0"/>
              <w:right w:val="single" w:color="000000" w:sz="4" w:space="0"/>
            </w:tcBorders>
            <w:noWrap w:val="0"/>
            <w:vAlign w:val="center"/>
          </w:tcPr>
          <w:p w14:paraId="5F2A3515">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4.2</w:t>
            </w:r>
          </w:p>
        </w:tc>
        <w:tc>
          <w:tcPr>
            <w:tcW w:w="1657" w:type="dxa"/>
            <w:tcBorders>
              <w:top w:val="single" w:color="000000" w:sz="4" w:space="0"/>
              <w:left w:val="single" w:color="000000" w:sz="4" w:space="0"/>
              <w:bottom w:val="single" w:color="000000" w:sz="4" w:space="0"/>
            </w:tcBorders>
            <w:noWrap w:val="0"/>
            <w:vAlign w:val="center"/>
          </w:tcPr>
          <w:p w14:paraId="469C8907">
            <w:pPr>
              <w:pStyle w:val="23"/>
              <w:bidi w:val="0"/>
              <w:rPr>
                <w:rFonts w:hint="default" w:ascii="Times New Roman" w:hAnsi="Times New Roman" w:cs="Times New Roman"/>
                <w:color w:val="auto"/>
              </w:rPr>
            </w:pPr>
            <w:r>
              <w:rPr>
                <w:rFonts w:hint="default" w:ascii="Times New Roman" w:hAnsi="Times New Roman" w:cs="Times New Roman"/>
                <w:color w:val="auto"/>
              </w:rPr>
              <w:t>按10%计算</w:t>
            </w:r>
          </w:p>
        </w:tc>
      </w:tr>
      <w:tr w14:paraId="6F7B8F48">
        <w:tblPrEx>
          <w:tblCellMar>
            <w:top w:w="0" w:type="dxa"/>
            <w:left w:w="108" w:type="dxa"/>
            <w:bottom w:w="0" w:type="dxa"/>
            <w:right w:w="108" w:type="dxa"/>
          </w:tblCellMar>
        </w:tblPrEx>
        <w:trPr>
          <w:trHeight w:val="340" w:hRule="atLeast"/>
          <w:jc w:val="center"/>
        </w:trPr>
        <w:tc>
          <w:tcPr>
            <w:tcW w:w="2004" w:type="dxa"/>
            <w:tcBorders>
              <w:top w:val="single" w:color="000000" w:sz="4" w:space="0"/>
              <w:bottom w:val="single" w:color="000000" w:sz="12" w:space="0"/>
              <w:right w:val="single" w:color="000000" w:sz="4" w:space="0"/>
            </w:tcBorders>
            <w:noWrap w:val="0"/>
            <w:vAlign w:val="center"/>
          </w:tcPr>
          <w:p w14:paraId="680FF8BF">
            <w:pPr>
              <w:pStyle w:val="23"/>
              <w:bidi w:val="0"/>
              <w:rPr>
                <w:rFonts w:hint="default" w:ascii="Times New Roman" w:hAnsi="Times New Roman" w:cs="Times New Roman"/>
                <w:color w:val="auto"/>
              </w:rPr>
            </w:pPr>
            <w:r>
              <w:rPr>
                <w:rFonts w:hint="default" w:ascii="Times New Roman" w:hAnsi="Times New Roman" w:cs="Times New Roman"/>
                <w:color w:val="auto"/>
              </w:rPr>
              <w:t>合计</w:t>
            </w:r>
          </w:p>
        </w:tc>
        <w:tc>
          <w:tcPr>
            <w:tcW w:w="3240" w:type="dxa"/>
            <w:tcBorders>
              <w:top w:val="single" w:color="000000" w:sz="4" w:space="0"/>
              <w:left w:val="single" w:color="000000" w:sz="4" w:space="0"/>
              <w:bottom w:val="single" w:color="000000" w:sz="12" w:space="0"/>
              <w:right w:val="single" w:color="000000" w:sz="4" w:space="0"/>
            </w:tcBorders>
            <w:noWrap w:val="0"/>
            <w:vAlign w:val="center"/>
          </w:tcPr>
          <w:p w14:paraId="5D2A8E39">
            <w:pPr>
              <w:pStyle w:val="23"/>
              <w:bidi w:val="0"/>
              <w:rPr>
                <w:rFonts w:hint="default" w:ascii="Times New Roman" w:hAnsi="Times New Roman" w:cs="Times New Roman"/>
                <w:color w:val="auto"/>
              </w:rPr>
            </w:pPr>
          </w:p>
        </w:tc>
        <w:tc>
          <w:tcPr>
            <w:tcW w:w="2385" w:type="dxa"/>
            <w:tcBorders>
              <w:top w:val="single" w:color="000000" w:sz="4" w:space="0"/>
              <w:left w:val="single" w:color="000000" w:sz="4" w:space="0"/>
              <w:bottom w:val="single" w:color="000000" w:sz="12" w:space="0"/>
              <w:right w:val="single" w:color="000000" w:sz="4" w:space="0"/>
            </w:tcBorders>
            <w:noWrap w:val="0"/>
            <w:vAlign w:val="center"/>
          </w:tcPr>
          <w:p w14:paraId="2130AB7D">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46.8</w:t>
            </w:r>
          </w:p>
        </w:tc>
        <w:tc>
          <w:tcPr>
            <w:tcW w:w="1657" w:type="dxa"/>
            <w:tcBorders>
              <w:top w:val="single" w:color="000000" w:sz="4" w:space="0"/>
              <w:left w:val="single" w:color="000000" w:sz="4" w:space="0"/>
              <w:bottom w:val="single" w:color="000000" w:sz="12" w:space="0"/>
            </w:tcBorders>
            <w:noWrap w:val="0"/>
            <w:vAlign w:val="center"/>
          </w:tcPr>
          <w:p w14:paraId="5A9CD323">
            <w:pPr>
              <w:pStyle w:val="23"/>
              <w:bidi w:val="0"/>
              <w:rPr>
                <w:rFonts w:hint="default" w:ascii="Times New Roman" w:hAnsi="Times New Roman" w:cs="Times New Roman"/>
                <w:color w:val="auto"/>
              </w:rPr>
            </w:pPr>
          </w:p>
        </w:tc>
      </w:tr>
    </w:tbl>
    <w:p w14:paraId="6405B413">
      <w:pPr>
        <w:pStyle w:val="21"/>
        <w:bidi w:val="0"/>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cs="Times New Roman"/>
          <w:color w:val="auto"/>
          <w:lang w:val="en-US" w:eastAsia="zh-CN"/>
        </w:rPr>
        <w:t>3.4</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 xml:space="preserve">  </w:t>
      </w:r>
      <w:r>
        <w:rPr>
          <w:rFonts w:hint="default" w:ascii="Times New Roman" w:hAnsi="Times New Roman" w:cs="Times New Roman"/>
          <w:color w:val="auto"/>
          <w:lang w:eastAsia="zh-CN"/>
        </w:rPr>
        <w:t>改扩建</w:t>
      </w:r>
      <w:r>
        <w:rPr>
          <w:rFonts w:hint="default" w:ascii="Times New Roman" w:hAnsi="Times New Roman" w:cs="Times New Roman"/>
          <w:color w:val="auto"/>
        </w:rPr>
        <w:t>工程</w:t>
      </w:r>
      <w:r>
        <w:rPr>
          <w:rFonts w:hint="default" w:ascii="Times New Roman" w:hAnsi="Times New Roman" w:cs="Times New Roman"/>
          <w:color w:val="auto"/>
          <w:lang w:val="en-US" w:eastAsia="zh-CN"/>
        </w:rPr>
        <w:t>实际</w:t>
      </w:r>
      <w:r>
        <w:rPr>
          <w:rFonts w:hint="default" w:ascii="Times New Roman" w:hAnsi="Times New Roman" w:cs="Times New Roman"/>
          <w:color w:val="auto"/>
        </w:rPr>
        <w:t>用水情况表</w:t>
      </w:r>
    </w:p>
    <w:tbl>
      <w:tblPr>
        <w:tblStyle w:val="14"/>
        <w:tblW w:w="9071" w:type="dxa"/>
        <w:jc w:val="center"/>
        <w:tblLayout w:type="fixed"/>
        <w:tblCellMar>
          <w:top w:w="0" w:type="dxa"/>
          <w:left w:w="108" w:type="dxa"/>
          <w:bottom w:w="0" w:type="dxa"/>
          <w:right w:w="108" w:type="dxa"/>
        </w:tblCellMar>
      </w:tblPr>
      <w:tblGrid>
        <w:gridCol w:w="1958"/>
        <w:gridCol w:w="2945"/>
        <w:gridCol w:w="2393"/>
        <w:gridCol w:w="1775"/>
      </w:tblGrid>
      <w:tr w14:paraId="737C5DE2">
        <w:tblPrEx>
          <w:tblCellMar>
            <w:top w:w="0" w:type="dxa"/>
            <w:left w:w="108" w:type="dxa"/>
            <w:bottom w:w="0" w:type="dxa"/>
            <w:right w:w="108" w:type="dxa"/>
          </w:tblCellMar>
        </w:tblPrEx>
        <w:trPr>
          <w:trHeight w:val="340" w:hRule="atLeast"/>
          <w:jc w:val="center"/>
        </w:trPr>
        <w:tc>
          <w:tcPr>
            <w:tcW w:w="1958" w:type="dxa"/>
            <w:tcBorders>
              <w:top w:val="single" w:color="000000" w:sz="12" w:space="0"/>
              <w:bottom w:val="single" w:color="000000" w:sz="4" w:space="0"/>
              <w:right w:val="single" w:color="000000" w:sz="4" w:space="0"/>
            </w:tcBorders>
            <w:noWrap w:val="0"/>
            <w:vAlign w:val="center"/>
          </w:tcPr>
          <w:p w14:paraId="6E83152A">
            <w:pPr>
              <w:pStyle w:val="23"/>
              <w:bidi w:val="0"/>
              <w:rPr>
                <w:rFonts w:hint="default" w:ascii="Times New Roman" w:hAnsi="Times New Roman" w:cs="Times New Roman"/>
                <w:color w:val="auto"/>
              </w:rPr>
            </w:pPr>
            <w:r>
              <w:rPr>
                <w:rFonts w:hint="default" w:ascii="Times New Roman" w:hAnsi="Times New Roman" w:cs="Times New Roman"/>
                <w:color w:val="auto"/>
              </w:rPr>
              <w:t>类别</w:t>
            </w:r>
          </w:p>
        </w:tc>
        <w:tc>
          <w:tcPr>
            <w:tcW w:w="2945" w:type="dxa"/>
            <w:tcBorders>
              <w:top w:val="single" w:color="000000" w:sz="12" w:space="0"/>
              <w:left w:val="single" w:color="000000" w:sz="4" w:space="0"/>
              <w:bottom w:val="single" w:color="000000" w:sz="4" w:space="0"/>
              <w:right w:val="single" w:color="000000" w:sz="4" w:space="0"/>
            </w:tcBorders>
            <w:noWrap w:val="0"/>
            <w:vAlign w:val="center"/>
          </w:tcPr>
          <w:p w14:paraId="4659359A">
            <w:pPr>
              <w:pStyle w:val="23"/>
              <w:bidi w:val="0"/>
              <w:rPr>
                <w:rFonts w:hint="default" w:ascii="Times New Roman" w:hAnsi="Times New Roman" w:cs="Times New Roman"/>
                <w:color w:val="auto"/>
              </w:rPr>
            </w:pPr>
            <w:r>
              <w:rPr>
                <w:rFonts w:hint="default" w:ascii="Times New Roman" w:hAnsi="Times New Roman" w:cs="Times New Roman"/>
                <w:color w:val="auto"/>
              </w:rPr>
              <w:t>用水定额</w:t>
            </w:r>
          </w:p>
        </w:tc>
        <w:tc>
          <w:tcPr>
            <w:tcW w:w="2393" w:type="dxa"/>
            <w:tcBorders>
              <w:top w:val="single" w:color="000000" w:sz="12" w:space="0"/>
              <w:left w:val="single" w:color="000000" w:sz="4" w:space="0"/>
              <w:bottom w:val="single" w:color="000000" w:sz="4" w:space="0"/>
              <w:right w:val="single" w:color="000000" w:sz="4" w:space="0"/>
            </w:tcBorders>
            <w:noWrap w:val="0"/>
            <w:vAlign w:val="center"/>
          </w:tcPr>
          <w:p w14:paraId="7CFBBC05">
            <w:pPr>
              <w:pStyle w:val="23"/>
              <w:bidi w:val="0"/>
              <w:rPr>
                <w:rFonts w:hint="default" w:ascii="Times New Roman" w:hAnsi="Times New Roman" w:cs="Times New Roman"/>
                <w:color w:val="auto"/>
              </w:rPr>
            </w:pPr>
            <w:r>
              <w:rPr>
                <w:rFonts w:hint="default" w:ascii="Times New Roman" w:hAnsi="Times New Roman" w:cs="Times New Roman"/>
                <w:color w:val="auto"/>
              </w:rPr>
              <w:t>最高日用水量（</w:t>
            </w:r>
            <w:r>
              <w:rPr>
                <w:rFonts w:hint="default" w:ascii="Times New Roman" w:hAnsi="Times New Roman" w:cs="Times New Roman"/>
                <w:color w:val="auto"/>
                <w:lang w:val="en-US" w:eastAsia="zh-CN"/>
              </w:rPr>
              <w:t>m³</w:t>
            </w:r>
            <w:r>
              <w:rPr>
                <w:rFonts w:hint="default" w:ascii="Times New Roman" w:hAnsi="Times New Roman" w:cs="Times New Roman"/>
                <w:color w:val="auto"/>
              </w:rPr>
              <w:t>/d）</w:t>
            </w:r>
          </w:p>
        </w:tc>
        <w:tc>
          <w:tcPr>
            <w:tcW w:w="1775" w:type="dxa"/>
            <w:tcBorders>
              <w:top w:val="single" w:color="000000" w:sz="12" w:space="0"/>
              <w:left w:val="single" w:color="000000" w:sz="4" w:space="0"/>
              <w:bottom w:val="single" w:color="000000" w:sz="4" w:space="0"/>
            </w:tcBorders>
            <w:noWrap w:val="0"/>
            <w:vAlign w:val="center"/>
          </w:tcPr>
          <w:p w14:paraId="366B2BA6">
            <w:pPr>
              <w:pStyle w:val="23"/>
              <w:bidi w:val="0"/>
              <w:rPr>
                <w:rFonts w:hint="default" w:ascii="Times New Roman" w:hAnsi="Times New Roman" w:cs="Times New Roman"/>
                <w:color w:val="auto"/>
              </w:rPr>
            </w:pPr>
            <w:r>
              <w:rPr>
                <w:rFonts w:hint="default" w:ascii="Times New Roman" w:hAnsi="Times New Roman" w:cs="Times New Roman"/>
                <w:color w:val="auto"/>
              </w:rPr>
              <w:t>备注</w:t>
            </w:r>
          </w:p>
        </w:tc>
      </w:tr>
      <w:tr w14:paraId="253EB4C2">
        <w:tblPrEx>
          <w:tblCellMar>
            <w:top w:w="0" w:type="dxa"/>
            <w:left w:w="108" w:type="dxa"/>
            <w:bottom w:w="0" w:type="dxa"/>
            <w:right w:w="108" w:type="dxa"/>
          </w:tblCellMar>
        </w:tblPrEx>
        <w:trPr>
          <w:trHeight w:val="340" w:hRule="atLeast"/>
          <w:jc w:val="center"/>
        </w:trPr>
        <w:tc>
          <w:tcPr>
            <w:tcW w:w="1958" w:type="dxa"/>
            <w:tcBorders>
              <w:top w:val="single" w:color="000000" w:sz="4" w:space="0"/>
              <w:bottom w:val="single" w:color="000000" w:sz="4" w:space="0"/>
              <w:right w:val="single" w:color="000000" w:sz="4" w:space="0"/>
            </w:tcBorders>
            <w:noWrap w:val="0"/>
            <w:vAlign w:val="center"/>
          </w:tcPr>
          <w:p w14:paraId="31BCC02A">
            <w:pPr>
              <w:pStyle w:val="23"/>
              <w:bidi w:val="0"/>
              <w:rPr>
                <w:rFonts w:hint="default" w:ascii="Times New Roman" w:hAnsi="Times New Roman" w:cs="Times New Roman"/>
                <w:color w:val="auto"/>
              </w:rPr>
            </w:pPr>
            <w:r>
              <w:rPr>
                <w:rFonts w:hint="default" w:ascii="Times New Roman" w:hAnsi="Times New Roman" w:cs="Times New Roman"/>
                <w:color w:val="auto"/>
              </w:rPr>
              <w:t>生活用水量</w:t>
            </w:r>
          </w:p>
        </w:tc>
        <w:tc>
          <w:tcPr>
            <w:tcW w:w="2945" w:type="dxa"/>
            <w:tcBorders>
              <w:top w:val="single" w:color="000000" w:sz="4" w:space="0"/>
              <w:left w:val="single" w:color="000000" w:sz="4" w:space="0"/>
              <w:bottom w:val="single" w:color="000000" w:sz="4" w:space="0"/>
              <w:right w:val="single" w:color="000000" w:sz="4" w:space="0"/>
            </w:tcBorders>
            <w:noWrap w:val="0"/>
            <w:vAlign w:val="center"/>
          </w:tcPr>
          <w:p w14:paraId="78738F0D">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200</w:t>
            </w:r>
            <w:r>
              <w:rPr>
                <w:rFonts w:hint="default" w:ascii="Times New Roman" w:hAnsi="Times New Roman" w:cs="Times New Roman"/>
                <w:color w:val="auto"/>
              </w:rPr>
              <w:t>L/人.d</w:t>
            </w:r>
          </w:p>
        </w:tc>
        <w:tc>
          <w:tcPr>
            <w:tcW w:w="2393" w:type="dxa"/>
            <w:tcBorders>
              <w:top w:val="single" w:color="000000" w:sz="4" w:space="0"/>
              <w:left w:val="single" w:color="000000" w:sz="4" w:space="0"/>
              <w:bottom w:val="single" w:color="000000" w:sz="4" w:space="0"/>
              <w:right w:val="single" w:color="000000" w:sz="4" w:space="0"/>
            </w:tcBorders>
            <w:noWrap w:val="0"/>
            <w:vAlign w:val="center"/>
          </w:tcPr>
          <w:p w14:paraId="20AF146D">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0</w:t>
            </w:r>
          </w:p>
        </w:tc>
        <w:tc>
          <w:tcPr>
            <w:tcW w:w="1775" w:type="dxa"/>
            <w:tcBorders>
              <w:top w:val="single" w:color="000000" w:sz="4" w:space="0"/>
              <w:left w:val="single" w:color="000000" w:sz="4" w:space="0"/>
              <w:bottom w:val="single" w:color="000000" w:sz="4" w:space="0"/>
            </w:tcBorders>
            <w:noWrap w:val="0"/>
            <w:vAlign w:val="center"/>
          </w:tcPr>
          <w:p w14:paraId="11A374E3">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本次未新增员工</w:t>
            </w:r>
          </w:p>
        </w:tc>
      </w:tr>
      <w:tr w14:paraId="5A6C68B9">
        <w:tblPrEx>
          <w:tblCellMar>
            <w:top w:w="0" w:type="dxa"/>
            <w:left w:w="108" w:type="dxa"/>
            <w:bottom w:w="0" w:type="dxa"/>
            <w:right w:w="108" w:type="dxa"/>
          </w:tblCellMar>
        </w:tblPrEx>
        <w:trPr>
          <w:trHeight w:val="340" w:hRule="atLeast"/>
          <w:jc w:val="center"/>
        </w:trPr>
        <w:tc>
          <w:tcPr>
            <w:tcW w:w="1958" w:type="dxa"/>
            <w:tcBorders>
              <w:top w:val="single" w:color="000000" w:sz="4" w:space="0"/>
              <w:bottom w:val="single" w:color="000000" w:sz="4" w:space="0"/>
              <w:right w:val="single" w:color="000000" w:sz="4" w:space="0"/>
            </w:tcBorders>
            <w:noWrap w:val="0"/>
            <w:vAlign w:val="center"/>
          </w:tcPr>
          <w:p w14:paraId="02A57D5B">
            <w:pPr>
              <w:pStyle w:val="23"/>
              <w:bidi w:val="0"/>
              <w:rPr>
                <w:rFonts w:hint="default" w:ascii="Times New Roman" w:hAnsi="Times New Roman" w:cs="Times New Roman"/>
                <w:color w:val="auto"/>
              </w:rPr>
            </w:pPr>
            <w:r>
              <w:rPr>
                <w:rFonts w:hint="default" w:ascii="Times New Roman" w:hAnsi="Times New Roman" w:cs="Times New Roman"/>
                <w:color w:val="auto"/>
              </w:rPr>
              <w:t>预处理工艺用水</w:t>
            </w:r>
          </w:p>
        </w:tc>
        <w:tc>
          <w:tcPr>
            <w:tcW w:w="2945" w:type="dxa"/>
            <w:tcBorders>
              <w:top w:val="single" w:color="000000" w:sz="4" w:space="0"/>
              <w:left w:val="single" w:color="000000" w:sz="4" w:space="0"/>
              <w:bottom w:val="single" w:color="000000" w:sz="4" w:space="0"/>
              <w:right w:val="single" w:color="000000" w:sz="4" w:space="0"/>
            </w:tcBorders>
            <w:noWrap w:val="0"/>
            <w:vAlign w:val="center"/>
          </w:tcPr>
          <w:p w14:paraId="27D499CF">
            <w:pPr>
              <w:pStyle w:val="23"/>
              <w:bidi w:val="0"/>
              <w:rPr>
                <w:rFonts w:hint="eastAsia" w:ascii="Times New Roman" w:hAnsi="Times New Roman" w:eastAsia="宋体" w:cs="Times New Roman"/>
                <w:color w:val="auto"/>
                <w:lang w:val="en-US" w:eastAsia="zh-CN"/>
              </w:rPr>
            </w:pPr>
            <w:r>
              <w:rPr>
                <w:rFonts w:hint="default" w:ascii="Times New Roman" w:hAnsi="Times New Roman" w:cs="Times New Roman"/>
                <w:color w:val="auto"/>
              </w:rPr>
              <w:t>飞灰：螯合剂：水=</w:t>
            </w:r>
            <w:r>
              <w:rPr>
                <w:rFonts w:hint="eastAsia" w:cs="Times New Roman"/>
                <w:color w:val="auto"/>
                <w:lang w:val="en-US" w:eastAsia="zh-CN"/>
              </w:rPr>
              <w:t>100</w:t>
            </w:r>
            <w:r>
              <w:rPr>
                <w:rFonts w:hint="eastAsia" w:ascii="Times New Roman" w:hAnsi="Times New Roman" w:cs="Times New Roman"/>
                <w:color w:val="auto"/>
                <w:lang w:eastAsia="zh-CN"/>
              </w:rPr>
              <w:t>：8：30</w:t>
            </w:r>
          </w:p>
        </w:tc>
        <w:tc>
          <w:tcPr>
            <w:tcW w:w="2393" w:type="dxa"/>
            <w:tcBorders>
              <w:top w:val="single" w:color="000000" w:sz="4" w:space="0"/>
              <w:left w:val="single" w:color="000000" w:sz="4" w:space="0"/>
              <w:bottom w:val="single" w:color="000000" w:sz="4" w:space="0"/>
              <w:right w:val="single" w:color="000000" w:sz="4" w:space="0"/>
            </w:tcBorders>
            <w:noWrap w:val="0"/>
            <w:vAlign w:val="center"/>
          </w:tcPr>
          <w:p w14:paraId="21357AE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30</w:t>
            </w:r>
            <w:r>
              <w:rPr>
                <w:rFonts w:hint="default" w:ascii="Times New Roman" w:hAnsi="Times New Roman" w:cs="Times New Roman"/>
                <w:color w:val="auto"/>
              </w:rPr>
              <w:t>.0</w:t>
            </w:r>
          </w:p>
        </w:tc>
        <w:tc>
          <w:tcPr>
            <w:tcW w:w="1775" w:type="dxa"/>
            <w:tcBorders>
              <w:top w:val="single" w:color="000000" w:sz="4" w:space="0"/>
              <w:left w:val="single" w:color="000000" w:sz="4" w:space="0"/>
              <w:bottom w:val="single" w:color="000000" w:sz="4" w:space="0"/>
            </w:tcBorders>
            <w:noWrap w:val="0"/>
            <w:vAlign w:val="center"/>
          </w:tcPr>
          <w:p w14:paraId="4D7EF35E">
            <w:pPr>
              <w:pStyle w:val="23"/>
              <w:bidi w:val="0"/>
              <w:rPr>
                <w:rFonts w:hint="default" w:ascii="Times New Roman" w:hAnsi="Times New Roman" w:cs="Times New Roman"/>
                <w:color w:val="auto"/>
              </w:rPr>
            </w:pPr>
            <w:r>
              <w:rPr>
                <w:rFonts w:hint="default" w:ascii="Times New Roman" w:hAnsi="Times New Roman" w:cs="Times New Roman"/>
                <w:color w:val="auto"/>
              </w:rPr>
              <w:t>为本次新增</w:t>
            </w:r>
          </w:p>
        </w:tc>
      </w:tr>
      <w:tr w14:paraId="48A0F7DD">
        <w:tblPrEx>
          <w:tblCellMar>
            <w:top w:w="0" w:type="dxa"/>
            <w:left w:w="108" w:type="dxa"/>
            <w:bottom w:w="0" w:type="dxa"/>
            <w:right w:w="108" w:type="dxa"/>
          </w:tblCellMar>
        </w:tblPrEx>
        <w:trPr>
          <w:trHeight w:val="340" w:hRule="atLeast"/>
          <w:jc w:val="center"/>
        </w:trPr>
        <w:tc>
          <w:tcPr>
            <w:tcW w:w="1958" w:type="dxa"/>
            <w:tcBorders>
              <w:top w:val="single" w:color="000000" w:sz="4" w:space="0"/>
              <w:bottom w:val="single" w:color="000000" w:sz="4" w:space="0"/>
              <w:right w:val="single" w:color="000000" w:sz="4" w:space="0"/>
            </w:tcBorders>
            <w:noWrap w:val="0"/>
            <w:vAlign w:val="center"/>
          </w:tcPr>
          <w:p w14:paraId="6763D490">
            <w:pPr>
              <w:pStyle w:val="23"/>
              <w:bidi w:val="0"/>
              <w:rPr>
                <w:rFonts w:hint="default" w:ascii="Times New Roman" w:hAnsi="Times New Roman" w:cs="Times New Roman"/>
                <w:color w:val="auto"/>
              </w:rPr>
            </w:pPr>
            <w:r>
              <w:rPr>
                <w:rFonts w:hint="default" w:ascii="Times New Roman" w:hAnsi="Times New Roman" w:cs="Times New Roman"/>
                <w:color w:val="auto"/>
              </w:rPr>
              <w:t>预处理车间</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洗车台</w:t>
            </w:r>
            <w:r>
              <w:rPr>
                <w:rFonts w:hint="default" w:ascii="Times New Roman" w:hAnsi="Times New Roman" w:cs="Times New Roman"/>
                <w:color w:val="auto"/>
              </w:rPr>
              <w:t>冲洗水</w:t>
            </w:r>
          </w:p>
        </w:tc>
        <w:tc>
          <w:tcPr>
            <w:tcW w:w="2945" w:type="dxa"/>
            <w:tcBorders>
              <w:top w:val="single" w:color="000000" w:sz="4" w:space="0"/>
              <w:left w:val="single" w:color="000000" w:sz="4" w:space="0"/>
              <w:bottom w:val="single" w:color="000000" w:sz="4" w:space="0"/>
              <w:right w:val="single" w:color="000000" w:sz="4" w:space="0"/>
            </w:tcBorders>
            <w:noWrap w:val="0"/>
            <w:vAlign w:val="center"/>
          </w:tcPr>
          <w:p w14:paraId="2D051507">
            <w:pPr>
              <w:pStyle w:val="23"/>
              <w:bidi w:val="0"/>
              <w:rPr>
                <w:rFonts w:hint="default" w:ascii="Times New Roman" w:hAnsi="Times New Roman" w:cs="Times New Roman"/>
                <w:color w:val="auto"/>
              </w:rPr>
            </w:pPr>
          </w:p>
        </w:tc>
        <w:tc>
          <w:tcPr>
            <w:tcW w:w="2393" w:type="dxa"/>
            <w:tcBorders>
              <w:top w:val="single" w:color="000000" w:sz="4" w:space="0"/>
              <w:left w:val="single" w:color="000000" w:sz="4" w:space="0"/>
              <w:bottom w:val="single" w:color="000000" w:sz="4" w:space="0"/>
              <w:right w:val="single" w:color="000000" w:sz="4" w:space="0"/>
            </w:tcBorders>
            <w:noWrap w:val="0"/>
            <w:vAlign w:val="center"/>
          </w:tcPr>
          <w:p w14:paraId="1F2DEB47">
            <w:pPr>
              <w:pStyle w:val="23"/>
              <w:bidi w:val="0"/>
              <w:rPr>
                <w:rFonts w:hint="default" w:ascii="Times New Roman" w:hAnsi="Times New Roman" w:eastAsia="宋体" w:cs="Times New Roman"/>
                <w:color w:val="auto"/>
                <w:lang w:val="en-US" w:eastAsia="zh-CN"/>
              </w:rPr>
            </w:pPr>
            <w:r>
              <w:rPr>
                <w:rFonts w:hint="eastAsia" w:cs="Times New Roman"/>
                <w:color w:val="auto"/>
                <w:lang w:val="en-US" w:eastAsia="zh-CN"/>
              </w:rPr>
              <w:t>1.0</w:t>
            </w:r>
          </w:p>
        </w:tc>
        <w:tc>
          <w:tcPr>
            <w:tcW w:w="1775" w:type="dxa"/>
            <w:tcBorders>
              <w:top w:val="single" w:color="000000" w:sz="4" w:space="0"/>
              <w:left w:val="single" w:color="000000" w:sz="4" w:space="0"/>
              <w:bottom w:val="single" w:color="000000" w:sz="4" w:space="0"/>
            </w:tcBorders>
            <w:noWrap w:val="0"/>
            <w:vAlign w:val="center"/>
          </w:tcPr>
          <w:p w14:paraId="47D86AB8">
            <w:pPr>
              <w:pStyle w:val="23"/>
              <w:bidi w:val="0"/>
              <w:rPr>
                <w:rFonts w:hint="default" w:ascii="Times New Roman" w:hAnsi="Times New Roman" w:cs="Times New Roman"/>
                <w:color w:val="auto"/>
              </w:rPr>
            </w:pPr>
            <w:r>
              <w:rPr>
                <w:rFonts w:hint="default" w:ascii="Times New Roman" w:hAnsi="Times New Roman" w:cs="Times New Roman"/>
                <w:color w:val="auto"/>
              </w:rPr>
              <w:t>为本次新增</w:t>
            </w:r>
          </w:p>
        </w:tc>
      </w:tr>
      <w:tr w14:paraId="1FC27D48">
        <w:tblPrEx>
          <w:tblCellMar>
            <w:top w:w="0" w:type="dxa"/>
            <w:left w:w="108" w:type="dxa"/>
            <w:bottom w:w="0" w:type="dxa"/>
            <w:right w:w="108" w:type="dxa"/>
          </w:tblCellMar>
        </w:tblPrEx>
        <w:trPr>
          <w:trHeight w:val="340" w:hRule="atLeast"/>
          <w:jc w:val="center"/>
        </w:trPr>
        <w:tc>
          <w:tcPr>
            <w:tcW w:w="1958" w:type="dxa"/>
            <w:tcBorders>
              <w:top w:val="single" w:color="000000" w:sz="4" w:space="0"/>
              <w:bottom w:val="single" w:color="000000" w:sz="12" w:space="0"/>
              <w:right w:val="single" w:color="000000" w:sz="4" w:space="0"/>
            </w:tcBorders>
            <w:noWrap w:val="0"/>
            <w:vAlign w:val="center"/>
          </w:tcPr>
          <w:p w14:paraId="1AB2D73D">
            <w:pPr>
              <w:pStyle w:val="23"/>
              <w:bidi w:val="0"/>
              <w:rPr>
                <w:rFonts w:hint="default" w:ascii="Times New Roman" w:hAnsi="Times New Roman" w:cs="Times New Roman"/>
                <w:color w:val="auto"/>
              </w:rPr>
            </w:pPr>
            <w:r>
              <w:rPr>
                <w:rFonts w:hint="default" w:ascii="Times New Roman" w:hAnsi="Times New Roman" w:cs="Times New Roman"/>
                <w:color w:val="auto"/>
              </w:rPr>
              <w:t>合计</w:t>
            </w:r>
          </w:p>
        </w:tc>
        <w:tc>
          <w:tcPr>
            <w:tcW w:w="2945" w:type="dxa"/>
            <w:tcBorders>
              <w:top w:val="single" w:color="000000" w:sz="4" w:space="0"/>
              <w:left w:val="single" w:color="000000" w:sz="4" w:space="0"/>
              <w:bottom w:val="single" w:color="000000" w:sz="12" w:space="0"/>
              <w:right w:val="single" w:color="000000" w:sz="4" w:space="0"/>
            </w:tcBorders>
            <w:noWrap w:val="0"/>
            <w:vAlign w:val="center"/>
          </w:tcPr>
          <w:p w14:paraId="7D353EAE">
            <w:pPr>
              <w:pStyle w:val="23"/>
              <w:bidi w:val="0"/>
              <w:rPr>
                <w:rFonts w:hint="default" w:ascii="Times New Roman" w:hAnsi="Times New Roman" w:cs="Times New Roman"/>
                <w:color w:val="auto"/>
              </w:rPr>
            </w:pPr>
          </w:p>
        </w:tc>
        <w:tc>
          <w:tcPr>
            <w:tcW w:w="2393" w:type="dxa"/>
            <w:tcBorders>
              <w:top w:val="single" w:color="000000" w:sz="4" w:space="0"/>
              <w:left w:val="single" w:color="000000" w:sz="4" w:space="0"/>
              <w:bottom w:val="single" w:color="000000" w:sz="12" w:space="0"/>
              <w:right w:val="single" w:color="000000" w:sz="4" w:space="0"/>
            </w:tcBorders>
            <w:noWrap w:val="0"/>
            <w:vAlign w:val="center"/>
          </w:tcPr>
          <w:p w14:paraId="681F4A4C">
            <w:pPr>
              <w:pStyle w:val="23"/>
              <w:bidi w:val="0"/>
              <w:rPr>
                <w:rFonts w:hint="default" w:ascii="Times New Roman" w:hAnsi="Times New Roman" w:eastAsia="宋体" w:cs="Times New Roman"/>
                <w:color w:val="auto"/>
                <w:lang w:val="en-US" w:eastAsia="zh-CN"/>
              </w:rPr>
            </w:pPr>
            <w:r>
              <w:rPr>
                <w:rFonts w:hint="eastAsia" w:cs="Times New Roman"/>
                <w:color w:val="auto"/>
                <w:lang w:val="en-US" w:eastAsia="zh-CN"/>
              </w:rPr>
              <w:t>31.0</w:t>
            </w:r>
          </w:p>
        </w:tc>
        <w:tc>
          <w:tcPr>
            <w:tcW w:w="1775" w:type="dxa"/>
            <w:tcBorders>
              <w:top w:val="single" w:color="000000" w:sz="4" w:space="0"/>
              <w:left w:val="single" w:color="000000" w:sz="4" w:space="0"/>
              <w:bottom w:val="single" w:color="000000" w:sz="12" w:space="0"/>
            </w:tcBorders>
            <w:noWrap w:val="0"/>
            <w:vAlign w:val="center"/>
          </w:tcPr>
          <w:p w14:paraId="48194CFC">
            <w:pPr>
              <w:pStyle w:val="23"/>
              <w:bidi w:val="0"/>
              <w:rPr>
                <w:rFonts w:hint="default" w:ascii="Times New Roman" w:hAnsi="Times New Roman" w:cs="Times New Roman"/>
                <w:color w:val="auto"/>
              </w:rPr>
            </w:pPr>
          </w:p>
        </w:tc>
      </w:tr>
    </w:tbl>
    <w:p w14:paraId="179BA4E4">
      <w:pPr>
        <w:pStyle w:val="4"/>
        <w:bidi w:val="0"/>
        <w:rPr>
          <w:rFonts w:hint="default"/>
          <w:color w:val="auto"/>
        </w:rPr>
      </w:pPr>
      <w:bookmarkStart w:id="23" w:name="_Toc24938"/>
      <w:r>
        <w:rPr>
          <w:rFonts w:hint="default"/>
          <w:color w:val="auto"/>
          <w:lang w:val="en-US" w:eastAsia="zh-CN"/>
        </w:rPr>
        <w:t>3.4.</w:t>
      </w:r>
      <w:r>
        <w:rPr>
          <w:rFonts w:hint="eastAsia"/>
          <w:color w:val="auto"/>
          <w:lang w:val="en-US" w:eastAsia="zh-CN"/>
        </w:rPr>
        <w:t>2</w:t>
      </w:r>
      <w:r>
        <w:rPr>
          <w:rFonts w:hint="default"/>
          <w:color w:val="auto"/>
        </w:rPr>
        <w:t>排水</w:t>
      </w:r>
      <w:bookmarkEnd w:id="23"/>
    </w:p>
    <w:p w14:paraId="369D28C7">
      <w:pPr>
        <w:bidi w:val="0"/>
        <w:rPr>
          <w:rFonts w:hint="default" w:ascii="Times New Roman" w:hAnsi="Times New Roman" w:cs="Times New Roman"/>
          <w:color w:val="auto"/>
          <w:lang w:val="en-US"/>
        </w:rPr>
      </w:pPr>
      <w:r>
        <w:rPr>
          <w:rFonts w:hint="default" w:ascii="Times New Roman" w:hAnsi="Times New Roman" w:cs="Times New Roman"/>
          <w:color w:val="auto"/>
        </w:rPr>
        <w:t>项目排水采用雨污分流制。</w:t>
      </w:r>
      <w:r>
        <w:rPr>
          <w:rFonts w:hint="default" w:ascii="Times New Roman" w:hAnsi="Times New Roman" w:cs="Times New Roman"/>
          <w:color w:val="auto"/>
          <w:kern w:val="1"/>
          <w:u w:val="none"/>
        </w:rPr>
        <w:t>车间地坪、车辆冲洗污水统一收集至污水池，循环利用于生产工艺用水，做到零排放；</w:t>
      </w:r>
      <w:r>
        <w:rPr>
          <w:rFonts w:hint="default" w:ascii="Times New Roman" w:hAnsi="Times New Roman" w:cs="Times New Roman"/>
          <w:color w:val="auto"/>
        </w:rPr>
        <w:t>生活污水经化粪池处理后，通过园区的市政管网进入福州市洋里污水处理厂处理。本次生产线</w:t>
      </w:r>
      <w:r>
        <w:rPr>
          <w:rFonts w:hint="default" w:ascii="Times New Roman" w:hAnsi="Times New Roman" w:cs="Times New Roman"/>
          <w:color w:val="auto"/>
          <w:lang w:eastAsia="zh-CN"/>
        </w:rPr>
        <w:t>改扩建</w:t>
      </w:r>
      <w:r>
        <w:rPr>
          <w:rFonts w:hint="default" w:ascii="Times New Roman" w:hAnsi="Times New Roman" w:cs="Times New Roman"/>
          <w:color w:val="auto"/>
        </w:rPr>
        <w:t>完全厂</w:t>
      </w:r>
      <w:r>
        <w:rPr>
          <w:rFonts w:hint="default" w:ascii="Times New Roman" w:hAnsi="Times New Roman" w:cs="Times New Roman"/>
          <w:color w:val="auto"/>
          <w:lang w:val="en-US" w:eastAsia="zh-CN"/>
        </w:rPr>
        <w:t>环评</w:t>
      </w:r>
      <w:r>
        <w:rPr>
          <w:rFonts w:hint="default" w:ascii="Times New Roman" w:hAnsi="Times New Roman" w:cs="Times New Roman"/>
          <w:color w:val="auto"/>
        </w:rPr>
        <w:t>水平衡详见图</w:t>
      </w:r>
      <w:r>
        <w:rPr>
          <w:rFonts w:hint="default" w:ascii="Times New Roman" w:hAnsi="Times New Roman" w:cs="Times New Roman"/>
          <w:color w:val="auto"/>
          <w:lang w:val="en-US" w:eastAsia="zh-CN"/>
        </w:rPr>
        <w:t>3</w:t>
      </w:r>
      <w:r>
        <w:rPr>
          <w:rFonts w:hint="default" w:ascii="Times New Roman" w:hAnsi="Times New Roman" w:cs="Times New Roman"/>
          <w:color w:val="auto"/>
        </w:rPr>
        <w:t>.</w:t>
      </w:r>
      <w:r>
        <w:rPr>
          <w:rFonts w:hint="default" w:ascii="Times New Roman" w:hAnsi="Times New Roman" w:cs="Times New Roman"/>
          <w:color w:val="auto"/>
          <w:lang w:val="en-US" w:eastAsia="zh-CN"/>
        </w:rPr>
        <w:t>4</w:t>
      </w:r>
      <w:r>
        <w:rPr>
          <w:rFonts w:hint="default" w:ascii="Times New Roman" w:hAnsi="Times New Roman" w:cs="Times New Roman"/>
          <w:color w:val="auto"/>
        </w:rPr>
        <w:t>-1</w:t>
      </w:r>
      <w:r>
        <w:rPr>
          <w:rFonts w:hint="default" w:ascii="Times New Roman" w:hAnsi="Times New Roman" w:cs="Times New Roman"/>
          <w:color w:val="auto"/>
          <w:lang w:eastAsia="zh-CN"/>
        </w:rPr>
        <w:t>，</w:t>
      </w:r>
      <w:r>
        <w:rPr>
          <w:rFonts w:hint="default" w:ascii="Times New Roman" w:hAnsi="Times New Roman" w:cs="Times New Roman"/>
          <w:color w:val="auto"/>
        </w:rPr>
        <w:t>本次生产线</w:t>
      </w:r>
      <w:r>
        <w:rPr>
          <w:rFonts w:hint="default" w:ascii="Times New Roman" w:hAnsi="Times New Roman" w:cs="Times New Roman"/>
          <w:color w:val="auto"/>
          <w:lang w:eastAsia="zh-CN"/>
        </w:rPr>
        <w:t>改扩建</w:t>
      </w:r>
      <w:r>
        <w:rPr>
          <w:rFonts w:hint="default" w:ascii="Times New Roman" w:hAnsi="Times New Roman" w:cs="Times New Roman"/>
          <w:color w:val="auto"/>
        </w:rPr>
        <w:t>完全厂</w:t>
      </w:r>
      <w:r>
        <w:rPr>
          <w:rFonts w:hint="default" w:ascii="Times New Roman" w:hAnsi="Times New Roman" w:cs="Times New Roman"/>
          <w:color w:val="auto"/>
          <w:lang w:val="en-US" w:eastAsia="zh-CN"/>
        </w:rPr>
        <w:t>验收期间</w:t>
      </w:r>
      <w:r>
        <w:rPr>
          <w:rFonts w:hint="default" w:ascii="Times New Roman" w:hAnsi="Times New Roman" w:cs="Times New Roman"/>
          <w:color w:val="auto"/>
        </w:rPr>
        <w:t>水平衡详见图</w:t>
      </w:r>
      <w:r>
        <w:rPr>
          <w:rFonts w:hint="default" w:ascii="Times New Roman" w:hAnsi="Times New Roman" w:cs="Times New Roman"/>
          <w:color w:val="auto"/>
          <w:lang w:val="en-US" w:eastAsia="zh-CN"/>
        </w:rPr>
        <w:t>3</w:t>
      </w:r>
      <w:r>
        <w:rPr>
          <w:rFonts w:hint="default" w:ascii="Times New Roman" w:hAnsi="Times New Roman" w:cs="Times New Roman"/>
          <w:color w:val="auto"/>
        </w:rPr>
        <w:t>.</w:t>
      </w:r>
      <w:r>
        <w:rPr>
          <w:rFonts w:hint="default" w:ascii="Times New Roman" w:hAnsi="Times New Roman"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2。</w:t>
      </w:r>
    </w:p>
    <w:p w14:paraId="4DFA43EA">
      <w:pPr>
        <w:bidi w:val="0"/>
        <w:rPr>
          <w:rFonts w:hint="default" w:ascii="Times New Roman" w:hAnsi="Times New Roman" w:cs="Times New Roman"/>
          <w:color w:val="auto"/>
        </w:rPr>
      </w:pPr>
      <w:r>
        <w:rPr>
          <w:rFonts w:hint="default" w:ascii="Times New Roman" w:hAnsi="Times New Roman" w:cs="Times New Roman"/>
          <w:color w:val="auto"/>
        </w:rPr>
        <w:t>（3）消防水</w:t>
      </w:r>
    </w:p>
    <w:p w14:paraId="11A46C79">
      <w:pPr>
        <w:bidi w:val="0"/>
        <w:rPr>
          <w:rFonts w:hint="default" w:ascii="Times New Roman" w:hAnsi="Times New Roman" w:cs="Times New Roman"/>
          <w:color w:val="auto"/>
        </w:rPr>
      </w:pPr>
      <w:r>
        <w:rPr>
          <w:rFonts w:hint="default" w:ascii="Times New Roman" w:hAnsi="Times New Roman" w:cs="Times New Roman"/>
          <w:color w:val="auto"/>
        </w:rPr>
        <w:t>本次新增生产线位于已建的2#厂房，因此本工程消防对象为2#厂房，根据设计方案室外消防用水量20L/S，室内为10L/S，火灾延续时间2h，厂区建筑消防用水量计算为216m³。厂区现有的水池可作为可靠的消防水源，厂区室外设两根DN150室内外消防合用环状给水管。室外消火栓系统采用临时高压系统，在室外厂房四周主干道下布置环状消防给水管道，管径为DN150。设置SS100/65-1.0型地上式消火栓，距离路边不超过2m，室外消火栓间距不大于120m。并在厂区各单体内按规范要求设置一定数量的手提式磷酸铵盐干粉灭火器具。若发生事故产生消防废水，经应急处置措施收集进入事故应急池，待事故结束后委托有资质单位进行处理。本项目新增生产线位于现有工程已建的2#厂房内，依托现有工程的消防系统，不新增消防用水。</w:t>
      </w:r>
    </w:p>
    <w:p w14:paraId="206BDE31">
      <w:pPr>
        <w:pStyle w:val="25"/>
        <w:bidi w:val="0"/>
        <w:rPr>
          <w:rStyle w:val="27"/>
          <w:rFonts w:hint="default" w:ascii="Times New Roman" w:hAnsi="Times New Roman" w:cs="Times New Roman"/>
          <w:b/>
          <w:color w:val="auto"/>
        </w:rPr>
      </w:pPr>
      <w:r>
        <w:rPr>
          <w:rFonts w:hint="default" w:ascii="Times New Roman" w:hAnsi="Times New Roman" w:cs="Times New Roman"/>
          <w:color w:val="auto"/>
          <w:kern w:val="1"/>
          <w:lang w:eastAsia="zh-CN"/>
        </w:rPr>
        <mc:AlternateContent>
          <mc:Choice Requires="wpc">
            <w:drawing>
              <wp:inline distT="0" distB="0" distL="114300" distR="114300">
                <wp:extent cx="5734050" cy="3738880"/>
                <wp:effectExtent l="0" t="0" r="0" b="0"/>
                <wp:docPr id="186" name="画布 18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87" name="文本框 167"/>
                        <wps:cNvSpPr txBox="1"/>
                        <wps:spPr>
                          <a:xfrm>
                            <a:off x="1399540" y="255270"/>
                            <a:ext cx="981075" cy="296545"/>
                          </a:xfrm>
                          <a:prstGeom prst="rect">
                            <a:avLst/>
                          </a:prstGeom>
                          <a:noFill/>
                          <a:ln w="9525" cap="flat" cmpd="sng">
                            <a:solidFill>
                              <a:srgbClr val="000000"/>
                            </a:solidFill>
                            <a:prstDash val="solid"/>
                            <a:miter/>
                            <a:headEnd type="none" w="med" len="med"/>
                            <a:tailEnd type="none" w="med" len="med"/>
                          </a:ln>
                        </wps:spPr>
                        <wps:txbx>
                          <w:txbxContent>
                            <w:p w14:paraId="6A776126">
                              <w:pPr>
                                <w:pStyle w:val="23"/>
                              </w:pPr>
                              <w:r>
                                <w:rPr>
                                  <w:rFonts w:hint="eastAsia"/>
                                </w:rPr>
                                <w:t>生活用水</w:t>
                              </w:r>
                            </w:p>
                          </w:txbxContent>
                        </wps:txbx>
                        <wps:bodyPr upright="1"/>
                      </wps:wsp>
                      <wps:wsp>
                        <wps:cNvPr id="188" name="文本框 169"/>
                        <wps:cNvSpPr txBox="1"/>
                        <wps:spPr>
                          <a:xfrm>
                            <a:off x="1400175" y="777240"/>
                            <a:ext cx="1029970" cy="296545"/>
                          </a:xfrm>
                          <a:prstGeom prst="rect">
                            <a:avLst/>
                          </a:prstGeom>
                          <a:noFill/>
                          <a:ln w="9525" cap="flat" cmpd="sng">
                            <a:solidFill>
                              <a:srgbClr val="000000"/>
                            </a:solidFill>
                            <a:prstDash val="solid"/>
                            <a:miter/>
                            <a:headEnd type="none" w="med" len="med"/>
                            <a:tailEnd type="none" w="med" len="med"/>
                          </a:ln>
                        </wps:spPr>
                        <wps:txbx>
                          <w:txbxContent>
                            <w:p w14:paraId="0A67EF65">
                              <w:pPr>
                                <w:pStyle w:val="23"/>
                              </w:pPr>
                              <w:r>
                                <w:rPr>
                                  <w:rFonts w:hint="eastAsia"/>
                                </w:rPr>
                                <w:t>未可预见用水</w:t>
                              </w:r>
                            </w:p>
                          </w:txbxContent>
                        </wps:txbx>
                        <wps:bodyPr upright="1"/>
                      </wps:wsp>
                      <wps:wsp>
                        <wps:cNvPr id="189" name="文本框 171"/>
                        <wps:cNvSpPr txBox="1"/>
                        <wps:spPr>
                          <a:xfrm>
                            <a:off x="1400175" y="1343025"/>
                            <a:ext cx="1038225" cy="296545"/>
                          </a:xfrm>
                          <a:prstGeom prst="rect">
                            <a:avLst/>
                          </a:prstGeom>
                          <a:noFill/>
                          <a:ln w="9525" cap="flat" cmpd="sng">
                            <a:solidFill>
                              <a:srgbClr val="000000"/>
                            </a:solidFill>
                            <a:prstDash val="solid"/>
                            <a:miter/>
                            <a:headEnd type="none" w="med" len="med"/>
                            <a:tailEnd type="none" w="med" len="med"/>
                          </a:ln>
                        </wps:spPr>
                        <wps:txbx>
                          <w:txbxContent>
                            <w:p w14:paraId="0995435C">
                              <w:pPr>
                                <w:pStyle w:val="23"/>
                              </w:pPr>
                              <w:r>
                                <w:rPr>
                                  <w:rFonts w:hint="eastAsia"/>
                                </w:rPr>
                                <w:t>绿化用水</w:t>
                              </w:r>
                            </w:p>
                          </w:txbxContent>
                        </wps:txbx>
                        <wps:bodyPr upright="1"/>
                      </wps:wsp>
                      <wps:wsp>
                        <wps:cNvPr id="190" name="文本框 173"/>
                        <wps:cNvSpPr txBox="1"/>
                        <wps:spPr>
                          <a:xfrm>
                            <a:off x="1390650" y="1880235"/>
                            <a:ext cx="1429385" cy="296545"/>
                          </a:xfrm>
                          <a:prstGeom prst="rect">
                            <a:avLst/>
                          </a:prstGeom>
                          <a:noFill/>
                          <a:ln w="9525" cap="flat" cmpd="sng">
                            <a:solidFill>
                              <a:srgbClr val="000000"/>
                            </a:solidFill>
                            <a:prstDash val="solid"/>
                            <a:miter/>
                            <a:headEnd type="none" w="med" len="med"/>
                            <a:tailEnd type="none" w="med" len="med"/>
                          </a:ln>
                        </wps:spPr>
                        <wps:txbx>
                          <w:txbxContent>
                            <w:p w14:paraId="6785ED77">
                              <w:pPr>
                                <w:pStyle w:val="23"/>
                              </w:pPr>
                              <w:r>
                                <w:rPr>
                                  <w:rFonts w:hint="eastAsia"/>
                                </w:rPr>
                                <w:t>车间、洗车台冲洗水</w:t>
                              </w:r>
                            </w:p>
                          </w:txbxContent>
                        </wps:txbx>
                        <wps:bodyPr upright="1"/>
                      </wps:wsp>
                      <wps:wsp>
                        <wps:cNvPr id="191" name="直接连接符 175"/>
                        <wps:cNvCnPr/>
                        <wps:spPr>
                          <a:xfrm>
                            <a:off x="666750" y="382905"/>
                            <a:ext cx="733425" cy="635"/>
                          </a:xfrm>
                          <a:prstGeom prst="line">
                            <a:avLst/>
                          </a:prstGeom>
                          <a:ln w="9525" cap="flat" cmpd="sng">
                            <a:solidFill>
                              <a:srgbClr val="000000"/>
                            </a:solidFill>
                            <a:prstDash val="solid"/>
                            <a:headEnd type="none" w="med" len="med"/>
                            <a:tailEnd type="triangle" w="med" len="med"/>
                          </a:ln>
                        </wps:spPr>
                        <wps:bodyPr/>
                      </wps:wsp>
                      <wps:wsp>
                        <wps:cNvPr id="192" name="直接连接符 177"/>
                        <wps:cNvCnPr/>
                        <wps:spPr>
                          <a:xfrm>
                            <a:off x="666750" y="933450"/>
                            <a:ext cx="742950" cy="635"/>
                          </a:xfrm>
                          <a:prstGeom prst="line">
                            <a:avLst/>
                          </a:prstGeom>
                          <a:ln w="9525" cap="flat" cmpd="sng">
                            <a:solidFill>
                              <a:srgbClr val="000000"/>
                            </a:solidFill>
                            <a:prstDash val="solid"/>
                            <a:headEnd type="none" w="med" len="med"/>
                            <a:tailEnd type="triangle" w="med" len="med"/>
                          </a:ln>
                        </wps:spPr>
                        <wps:bodyPr/>
                      </wps:wsp>
                      <wps:wsp>
                        <wps:cNvPr id="193" name="直接连接符 179"/>
                        <wps:cNvCnPr/>
                        <wps:spPr>
                          <a:xfrm>
                            <a:off x="666750" y="384810"/>
                            <a:ext cx="635" cy="3190240"/>
                          </a:xfrm>
                          <a:prstGeom prst="line">
                            <a:avLst/>
                          </a:prstGeom>
                          <a:ln w="9525" cap="flat" cmpd="sng">
                            <a:solidFill>
                              <a:srgbClr val="000000"/>
                            </a:solidFill>
                            <a:prstDash val="solid"/>
                            <a:headEnd type="none" w="med" len="med"/>
                            <a:tailEnd type="none" w="med" len="med"/>
                          </a:ln>
                        </wps:spPr>
                        <wps:bodyPr/>
                      </wps:wsp>
                      <wps:wsp>
                        <wps:cNvPr id="194" name="直接连接符 181"/>
                        <wps:cNvCnPr/>
                        <wps:spPr>
                          <a:xfrm>
                            <a:off x="666750" y="1493520"/>
                            <a:ext cx="733425" cy="635"/>
                          </a:xfrm>
                          <a:prstGeom prst="line">
                            <a:avLst/>
                          </a:prstGeom>
                          <a:ln w="9525" cap="flat" cmpd="sng">
                            <a:solidFill>
                              <a:srgbClr val="000000"/>
                            </a:solidFill>
                            <a:prstDash val="solid"/>
                            <a:headEnd type="none" w="med" len="med"/>
                            <a:tailEnd type="triangle" w="med" len="med"/>
                          </a:ln>
                        </wps:spPr>
                        <wps:bodyPr/>
                      </wps:wsp>
                      <wps:wsp>
                        <wps:cNvPr id="195" name="直接连接符 183"/>
                        <wps:cNvCnPr/>
                        <wps:spPr>
                          <a:xfrm>
                            <a:off x="666750" y="2040255"/>
                            <a:ext cx="733425" cy="635"/>
                          </a:xfrm>
                          <a:prstGeom prst="line">
                            <a:avLst/>
                          </a:prstGeom>
                          <a:ln w="9525" cap="flat" cmpd="sng">
                            <a:solidFill>
                              <a:srgbClr val="000000"/>
                            </a:solidFill>
                            <a:prstDash val="solid"/>
                            <a:headEnd type="none" w="med" len="med"/>
                            <a:tailEnd type="triangle" w="med" len="med"/>
                          </a:ln>
                        </wps:spPr>
                        <wps:bodyPr/>
                      </wps:wsp>
                      <wps:wsp>
                        <wps:cNvPr id="196" name="直接连接符 185"/>
                        <wps:cNvCnPr/>
                        <wps:spPr>
                          <a:xfrm>
                            <a:off x="2390775" y="392430"/>
                            <a:ext cx="609600" cy="635"/>
                          </a:xfrm>
                          <a:prstGeom prst="line">
                            <a:avLst/>
                          </a:prstGeom>
                          <a:ln w="9525" cap="flat" cmpd="sng">
                            <a:solidFill>
                              <a:srgbClr val="000000"/>
                            </a:solidFill>
                            <a:prstDash val="solid"/>
                            <a:headEnd type="none" w="med" len="med"/>
                            <a:tailEnd type="triangle" w="med" len="med"/>
                          </a:ln>
                        </wps:spPr>
                        <wps:bodyPr/>
                      </wps:wsp>
                      <wps:wsp>
                        <wps:cNvPr id="197" name="文本框 187"/>
                        <wps:cNvSpPr txBox="1"/>
                        <wps:spPr>
                          <a:xfrm>
                            <a:off x="2999740" y="255270"/>
                            <a:ext cx="734060" cy="296545"/>
                          </a:xfrm>
                          <a:prstGeom prst="rect">
                            <a:avLst/>
                          </a:prstGeom>
                          <a:noFill/>
                          <a:ln w="9525" cap="flat" cmpd="sng">
                            <a:solidFill>
                              <a:srgbClr val="000000"/>
                            </a:solidFill>
                            <a:prstDash val="solid"/>
                            <a:miter/>
                            <a:headEnd type="none" w="med" len="med"/>
                            <a:tailEnd type="none" w="med" len="med"/>
                          </a:ln>
                        </wps:spPr>
                        <wps:txbx>
                          <w:txbxContent>
                            <w:p w14:paraId="75EE90BF">
                              <w:pPr>
                                <w:pStyle w:val="23"/>
                              </w:pPr>
                              <w:r>
                                <w:rPr>
                                  <w:rFonts w:hint="eastAsia"/>
                                </w:rPr>
                                <w:t>生活污水</w:t>
                              </w:r>
                            </w:p>
                          </w:txbxContent>
                        </wps:txbx>
                        <wps:bodyPr upright="1"/>
                      </wps:wsp>
                      <wps:wsp>
                        <wps:cNvPr id="198" name="文本框 189"/>
                        <wps:cNvSpPr txBox="1"/>
                        <wps:spPr>
                          <a:xfrm>
                            <a:off x="809625" y="169545"/>
                            <a:ext cx="447675" cy="274320"/>
                          </a:xfrm>
                          <a:prstGeom prst="rect">
                            <a:avLst/>
                          </a:prstGeom>
                          <a:noFill/>
                          <a:ln>
                            <a:noFill/>
                          </a:ln>
                        </wps:spPr>
                        <wps:txbx>
                          <w:txbxContent>
                            <w:p w14:paraId="6F464582">
                              <w:pPr>
                                <w:pStyle w:val="23"/>
                              </w:pPr>
                              <w:r>
                                <w:rPr>
                                  <w:rFonts w:hint="eastAsia"/>
                                </w:rPr>
                                <w:t>4.6</w:t>
                              </w:r>
                            </w:p>
                          </w:txbxContent>
                        </wps:txbx>
                        <wps:bodyPr upright="1"/>
                      </wps:wsp>
                      <wps:wsp>
                        <wps:cNvPr id="199" name="文本框 191"/>
                        <wps:cNvSpPr txBox="1"/>
                        <wps:spPr>
                          <a:xfrm>
                            <a:off x="2524125" y="179070"/>
                            <a:ext cx="447675" cy="274320"/>
                          </a:xfrm>
                          <a:prstGeom prst="rect">
                            <a:avLst/>
                          </a:prstGeom>
                          <a:noFill/>
                          <a:ln>
                            <a:noFill/>
                          </a:ln>
                        </wps:spPr>
                        <wps:txbx>
                          <w:txbxContent>
                            <w:p w14:paraId="43D8E813">
                              <w:pPr>
                                <w:pStyle w:val="23"/>
                              </w:pPr>
                              <w:r>
                                <w:rPr>
                                  <w:rFonts w:hint="eastAsia"/>
                                </w:rPr>
                                <w:t>3.7</w:t>
                              </w:r>
                            </w:p>
                          </w:txbxContent>
                        </wps:txbx>
                        <wps:bodyPr upright="1"/>
                      </wps:wsp>
                      <wps:wsp>
                        <wps:cNvPr id="200" name="文本框 193"/>
                        <wps:cNvSpPr txBox="1"/>
                        <wps:spPr>
                          <a:xfrm>
                            <a:off x="800100" y="706755"/>
                            <a:ext cx="447675" cy="274320"/>
                          </a:xfrm>
                          <a:prstGeom prst="rect">
                            <a:avLst/>
                          </a:prstGeom>
                          <a:noFill/>
                          <a:ln>
                            <a:noFill/>
                          </a:ln>
                        </wps:spPr>
                        <wps:txbx>
                          <w:txbxContent>
                            <w:p w14:paraId="0E8FA3D3">
                              <w:pPr>
                                <w:pStyle w:val="23"/>
                              </w:pPr>
                              <w:r>
                                <w:rPr>
                                  <w:rFonts w:hint="eastAsia"/>
                                </w:rPr>
                                <w:t>8.2</w:t>
                              </w:r>
                            </w:p>
                          </w:txbxContent>
                        </wps:txbx>
                        <wps:bodyPr upright="1"/>
                      </wps:wsp>
                      <wps:wsp>
                        <wps:cNvPr id="201" name="文本框 195"/>
                        <wps:cNvSpPr txBox="1"/>
                        <wps:spPr>
                          <a:xfrm>
                            <a:off x="819150" y="1253490"/>
                            <a:ext cx="447675" cy="274320"/>
                          </a:xfrm>
                          <a:prstGeom prst="rect">
                            <a:avLst/>
                          </a:prstGeom>
                          <a:noFill/>
                          <a:ln>
                            <a:noFill/>
                          </a:ln>
                        </wps:spPr>
                        <wps:txbx>
                          <w:txbxContent>
                            <w:p w14:paraId="5A340AA0">
                              <w:pPr>
                                <w:ind w:firstLine="0" w:firstLineChars="0"/>
                                <w:rPr>
                                  <w:sz w:val="21"/>
                                </w:rPr>
                              </w:pPr>
                              <w:r>
                                <w:rPr>
                                  <w:rFonts w:hint="eastAsia"/>
                                  <w:sz w:val="21"/>
                                </w:rPr>
                                <w:t>2.0</w:t>
                              </w:r>
                            </w:p>
                          </w:txbxContent>
                        </wps:txbx>
                        <wps:bodyPr upright="1"/>
                      </wps:wsp>
                      <wps:wsp>
                        <wps:cNvPr id="202" name="文本框 197"/>
                        <wps:cNvSpPr txBox="1"/>
                        <wps:spPr>
                          <a:xfrm>
                            <a:off x="800100" y="1790700"/>
                            <a:ext cx="447675" cy="274320"/>
                          </a:xfrm>
                          <a:prstGeom prst="rect">
                            <a:avLst/>
                          </a:prstGeom>
                          <a:noFill/>
                          <a:ln>
                            <a:noFill/>
                          </a:ln>
                        </wps:spPr>
                        <wps:txbx>
                          <w:txbxContent>
                            <w:p w14:paraId="7C035CFB">
                              <w:pPr>
                                <w:pStyle w:val="23"/>
                              </w:pPr>
                              <w:r>
                                <w:rPr>
                                  <w:rFonts w:hint="eastAsia"/>
                                </w:rPr>
                                <w:t>5.0</w:t>
                              </w:r>
                            </w:p>
                          </w:txbxContent>
                        </wps:txbx>
                        <wps:bodyPr upright="1"/>
                      </wps:wsp>
                      <wps:wsp>
                        <wps:cNvPr id="203" name="文本框 199"/>
                        <wps:cNvSpPr txBox="1"/>
                        <wps:spPr>
                          <a:xfrm>
                            <a:off x="4333875" y="198120"/>
                            <a:ext cx="933450" cy="668655"/>
                          </a:xfrm>
                          <a:prstGeom prst="rect">
                            <a:avLst/>
                          </a:prstGeom>
                          <a:noFill/>
                          <a:ln>
                            <a:noFill/>
                          </a:ln>
                        </wps:spPr>
                        <wps:txbx>
                          <w:txbxContent>
                            <w:p w14:paraId="59F2E897">
                              <w:pPr>
                                <w:pStyle w:val="23"/>
                                <w:rPr>
                                  <w:lang w:eastAsia="zh-CN"/>
                                </w:rPr>
                              </w:pPr>
                              <w:r>
                                <w:rPr>
                                  <w:rFonts w:hint="eastAsia"/>
                                  <w:lang w:eastAsia="zh-CN"/>
                                </w:rPr>
                                <w:t>纳入福州市洋里污水处理厂</w:t>
                              </w:r>
                            </w:p>
                            <w:p w14:paraId="7DFB5B6D">
                              <w:pPr>
                                <w:rPr>
                                  <w:lang w:eastAsia="zh-CN"/>
                                </w:rPr>
                              </w:pPr>
                            </w:p>
                          </w:txbxContent>
                        </wps:txbx>
                        <wps:bodyPr upright="1"/>
                      </wps:wsp>
                      <wps:wsp>
                        <wps:cNvPr id="204" name="直接连接符 201"/>
                        <wps:cNvCnPr/>
                        <wps:spPr>
                          <a:xfrm flipV="1">
                            <a:off x="1524000" y="118110"/>
                            <a:ext cx="209550" cy="137160"/>
                          </a:xfrm>
                          <a:prstGeom prst="line">
                            <a:avLst/>
                          </a:prstGeom>
                          <a:ln w="9525" cap="flat" cmpd="sng">
                            <a:solidFill>
                              <a:srgbClr val="000000"/>
                            </a:solidFill>
                            <a:prstDash val="dash"/>
                            <a:headEnd type="none" w="med" len="med"/>
                            <a:tailEnd type="triangle" w="med" len="med"/>
                          </a:ln>
                        </wps:spPr>
                        <wps:bodyPr/>
                      </wps:wsp>
                      <wps:wsp>
                        <wps:cNvPr id="205" name="文本框 203"/>
                        <wps:cNvSpPr txBox="1"/>
                        <wps:spPr>
                          <a:xfrm>
                            <a:off x="1657350" y="0"/>
                            <a:ext cx="733425" cy="274320"/>
                          </a:xfrm>
                          <a:prstGeom prst="rect">
                            <a:avLst/>
                          </a:prstGeom>
                          <a:noFill/>
                          <a:ln>
                            <a:noFill/>
                          </a:ln>
                        </wps:spPr>
                        <wps:txbx>
                          <w:txbxContent>
                            <w:p w14:paraId="18478CFE">
                              <w:pPr>
                                <w:pStyle w:val="23"/>
                              </w:pPr>
                              <w:r>
                                <w:rPr>
                                  <w:rFonts w:hint="eastAsia"/>
                                </w:rPr>
                                <w:t>损耗0.9</w:t>
                              </w:r>
                            </w:p>
                          </w:txbxContent>
                        </wps:txbx>
                        <wps:bodyPr upright="1"/>
                      </wps:wsp>
                      <wps:wsp>
                        <wps:cNvPr id="206" name="直接连接符 205"/>
                        <wps:cNvCnPr/>
                        <wps:spPr>
                          <a:xfrm flipV="1">
                            <a:off x="1543050" y="649605"/>
                            <a:ext cx="209550" cy="137160"/>
                          </a:xfrm>
                          <a:prstGeom prst="line">
                            <a:avLst/>
                          </a:prstGeom>
                          <a:ln w="9525" cap="flat" cmpd="sng">
                            <a:solidFill>
                              <a:srgbClr val="000000"/>
                            </a:solidFill>
                            <a:prstDash val="dash"/>
                            <a:headEnd type="none" w="med" len="med"/>
                            <a:tailEnd type="triangle" w="med" len="med"/>
                          </a:ln>
                        </wps:spPr>
                        <wps:bodyPr/>
                      </wps:wsp>
                      <wps:wsp>
                        <wps:cNvPr id="207" name="文本框 207"/>
                        <wps:cNvSpPr txBox="1"/>
                        <wps:spPr>
                          <a:xfrm>
                            <a:off x="1676400" y="531495"/>
                            <a:ext cx="733425" cy="274320"/>
                          </a:xfrm>
                          <a:prstGeom prst="rect">
                            <a:avLst/>
                          </a:prstGeom>
                          <a:noFill/>
                          <a:ln>
                            <a:noFill/>
                          </a:ln>
                        </wps:spPr>
                        <wps:txbx>
                          <w:txbxContent>
                            <w:p w14:paraId="55C1041D">
                              <w:pPr>
                                <w:pStyle w:val="23"/>
                              </w:pPr>
                              <w:r>
                                <w:rPr>
                                  <w:rFonts w:hint="eastAsia"/>
                                </w:rPr>
                                <w:t>损耗8.2</w:t>
                              </w:r>
                            </w:p>
                          </w:txbxContent>
                        </wps:txbx>
                        <wps:bodyPr upright="1"/>
                      </wps:wsp>
                      <wps:wsp>
                        <wps:cNvPr id="208" name="直接连接符 209"/>
                        <wps:cNvCnPr/>
                        <wps:spPr>
                          <a:xfrm flipV="1">
                            <a:off x="1524000" y="1202055"/>
                            <a:ext cx="209550" cy="137160"/>
                          </a:xfrm>
                          <a:prstGeom prst="line">
                            <a:avLst/>
                          </a:prstGeom>
                          <a:ln w="9525" cap="flat" cmpd="sng">
                            <a:solidFill>
                              <a:srgbClr val="000000"/>
                            </a:solidFill>
                            <a:prstDash val="dash"/>
                            <a:headEnd type="none" w="med" len="med"/>
                            <a:tailEnd type="triangle" w="med" len="med"/>
                          </a:ln>
                        </wps:spPr>
                        <wps:bodyPr/>
                      </wps:wsp>
                      <wps:wsp>
                        <wps:cNvPr id="209" name="文本框 211"/>
                        <wps:cNvSpPr txBox="1"/>
                        <wps:spPr>
                          <a:xfrm>
                            <a:off x="1657350" y="1093470"/>
                            <a:ext cx="733425" cy="274320"/>
                          </a:xfrm>
                          <a:prstGeom prst="rect">
                            <a:avLst/>
                          </a:prstGeom>
                          <a:noFill/>
                          <a:ln>
                            <a:noFill/>
                          </a:ln>
                        </wps:spPr>
                        <wps:txbx>
                          <w:txbxContent>
                            <w:p w14:paraId="07DA8D79">
                              <w:pPr>
                                <w:ind w:firstLine="0" w:firstLineChars="0"/>
                                <w:rPr>
                                  <w:sz w:val="21"/>
                                </w:rPr>
                              </w:pPr>
                              <w:r>
                                <w:rPr>
                                  <w:rFonts w:hint="eastAsia"/>
                                  <w:sz w:val="21"/>
                                </w:rPr>
                                <w:t>损耗2.0</w:t>
                              </w:r>
                            </w:p>
                          </w:txbxContent>
                        </wps:txbx>
                        <wps:bodyPr upright="1"/>
                      </wps:wsp>
                      <wps:wsp>
                        <wps:cNvPr id="210" name="直接连接符 213"/>
                        <wps:cNvCnPr/>
                        <wps:spPr>
                          <a:xfrm flipV="1">
                            <a:off x="1514475" y="1739265"/>
                            <a:ext cx="209550" cy="137160"/>
                          </a:xfrm>
                          <a:prstGeom prst="line">
                            <a:avLst/>
                          </a:prstGeom>
                          <a:ln w="9525" cap="flat" cmpd="sng">
                            <a:solidFill>
                              <a:srgbClr val="000000"/>
                            </a:solidFill>
                            <a:prstDash val="dash"/>
                            <a:headEnd type="none" w="med" len="med"/>
                            <a:tailEnd type="triangle" w="med" len="med"/>
                          </a:ln>
                        </wps:spPr>
                        <wps:bodyPr/>
                      </wps:wsp>
                      <wps:wsp>
                        <wps:cNvPr id="211" name="文本框 215"/>
                        <wps:cNvSpPr txBox="1"/>
                        <wps:spPr>
                          <a:xfrm>
                            <a:off x="1647825" y="1621155"/>
                            <a:ext cx="733425" cy="274320"/>
                          </a:xfrm>
                          <a:prstGeom prst="rect">
                            <a:avLst/>
                          </a:prstGeom>
                          <a:noFill/>
                          <a:ln>
                            <a:noFill/>
                          </a:ln>
                        </wps:spPr>
                        <wps:txbx>
                          <w:txbxContent>
                            <w:p w14:paraId="2D7279C7">
                              <w:pPr>
                                <w:ind w:firstLine="0" w:firstLineChars="0"/>
                                <w:rPr>
                                  <w:sz w:val="21"/>
                                </w:rPr>
                              </w:pPr>
                              <w:r>
                                <w:rPr>
                                  <w:rFonts w:hint="eastAsia"/>
                                  <w:sz w:val="21"/>
                                </w:rPr>
                                <w:t>损耗1.0</w:t>
                              </w:r>
                            </w:p>
                          </w:txbxContent>
                        </wps:txbx>
                        <wps:bodyPr upright="1"/>
                      </wps:wsp>
                      <wps:wsp>
                        <wps:cNvPr id="212" name="直接连接符 217"/>
                        <wps:cNvCnPr/>
                        <wps:spPr>
                          <a:xfrm>
                            <a:off x="3733800" y="396240"/>
                            <a:ext cx="542925" cy="635"/>
                          </a:xfrm>
                          <a:prstGeom prst="line">
                            <a:avLst/>
                          </a:prstGeom>
                          <a:ln w="9525" cap="flat" cmpd="sng">
                            <a:solidFill>
                              <a:srgbClr val="000000"/>
                            </a:solidFill>
                            <a:prstDash val="solid"/>
                            <a:headEnd type="none" w="med" len="med"/>
                            <a:tailEnd type="triangle" w="med" len="med"/>
                          </a:ln>
                        </wps:spPr>
                        <wps:bodyPr/>
                      </wps:wsp>
                      <wps:wsp>
                        <wps:cNvPr id="213" name="文本框 219"/>
                        <wps:cNvSpPr txBox="1"/>
                        <wps:spPr>
                          <a:xfrm>
                            <a:off x="3800475" y="184785"/>
                            <a:ext cx="484505" cy="274320"/>
                          </a:xfrm>
                          <a:prstGeom prst="rect">
                            <a:avLst/>
                          </a:prstGeom>
                          <a:noFill/>
                          <a:ln>
                            <a:noFill/>
                          </a:ln>
                        </wps:spPr>
                        <wps:txbx>
                          <w:txbxContent>
                            <w:p w14:paraId="0242C5E1">
                              <w:pPr>
                                <w:pStyle w:val="23"/>
                              </w:pPr>
                              <w:r>
                                <w:rPr>
                                  <w:rFonts w:hint="eastAsia"/>
                                </w:rPr>
                                <w:t>3.7</w:t>
                              </w:r>
                            </w:p>
                          </w:txbxContent>
                        </wps:txbx>
                        <wps:bodyPr upright="1"/>
                      </wps:wsp>
                      <wps:wsp>
                        <wps:cNvPr id="214" name="文本框 221"/>
                        <wps:cNvSpPr txBox="1"/>
                        <wps:spPr>
                          <a:xfrm>
                            <a:off x="1685925" y="2419985"/>
                            <a:ext cx="1047750" cy="296545"/>
                          </a:xfrm>
                          <a:prstGeom prst="rect">
                            <a:avLst/>
                          </a:prstGeom>
                          <a:noFill/>
                          <a:ln w="9525" cap="flat" cmpd="sng">
                            <a:solidFill>
                              <a:srgbClr val="000000"/>
                            </a:solidFill>
                            <a:prstDash val="solid"/>
                            <a:miter/>
                            <a:headEnd type="none" w="med" len="med"/>
                            <a:tailEnd type="none" w="med" len="med"/>
                          </a:ln>
                        </wps:spPr>
                        <wps:txbx>
                          <w:txbxContent>
                            <w:p w14:paraId="07DCB72D">
                              <w:pPr>
                                <w:ind w:firstLine="0" w:firstLineChars="0"/>
                                <w:jc w:val="center"/>
                                <w:rPr>
                                  <w:sz w:val="21"/>
                                </w:rPr>
                              </w:pPr>
                              <w:r>
                                <w:rPr>
                                  <w:rFonts w:hint="eastAsia"/>
                                  <w:sz w:val="21"/>
                                </w:rPr>
                                <w:t>工艺用水</w:t>
                              </w:r>
                            </w:p>
                          </w:txbxContent>
                        </wps:txbx>
                        <wps:bodyPr upright="1"/>
                      </wps:wsp>
                      <wps:wsp>
                        <wps:cNvPr id="215" name="直接连接符 223"/>
                        <wps:cNvCnPr/>
                        <wps:spPr>
                          <a:xfrm>
                            <a:off x="676275" y="2541270"/>
                            <a:ext cx="1009650" cy="635"/>
                          </a:xfrm>
                          <a:prstGeom prst="line">
                            <a:avLst/>
                          </a:prstGeom>
                          <a:ln w="9525" cap="flat" cmpd="sng">
                            <a:solidFill>
                              <a:srgbClr val="000000"/>
                            </a:solidFill>
                            <a:prstDash val="solid"/>
                            <a:headEnd type="none" w="med" len="med"/>
                            <a:tailEnd type="triangle" w="med" len="med"/>
                          </a:ln>
                        </wps:spPr>
                        <wps:bodyPr/>
                      </wps:wsp>
                      <wps:wsp>
                        <wps:cNvPr id="216" name="文本框 225"/>
                        <wps:cNvSpPr txBox="1"/>
                        <wps:spPr>
                          <a:xfrm>
                            <a:off x="714375" y="2327910"/>
                            <a:ext cx="466725" cy="274320"/>
                          </a:xfrm>
                          <a:prstGeom prst="rect">
                            <a:avLst/>
                          </a:prstGeom>
                          <a:noFill/>
                          <a:ln>
                            <a:noFill/>
                          </a:ln>
                        </wps:spPr>
                        <wps:txbx>
                          <w:txbxContent>
                            <w:p w14:paraId="7A1B2732">
                              <w:pPr>
                                <w:pStyle w:val="23"/>
                              </w:pPr>
                              <w:r>
                                <w:rPr>
                                  <w:rFonts w:hint="eastAsia"/>
                                </w:rPr>
                                <w:t>76.0</w:t>
                              </w:r>
                            </w:p>
                          </w:txbxContent>
                        </wps:txbx>
                        <wps:bodyPr upright="1"/>
                      </wps:wsp>
                      <wps:wsp>
                        <wps:cNvPr id="217" name="直接连接符 227"/>
                        <wps:cNvCnPr/>
                        <wps:spPr>
                          <a:xfrm flipV="1">
                            <a:off x="1724025" y="2286000"/>
                            <a:ext cx="209550" cy="137160"/>
                          </a:xfrm>
                          <a:prstGeom prst="line">
                            <a:avLst/>
                          </a:prstGeom>
                          <a:ln w="9525" cap="flat" cmpd="sng">
                            <a:solidFill>
                              <a:srgbClr val="000000"/>
                            </a:solidFill>
                            <a:prstDash val="dash"/>
                            <a:headEnd type="none" w="med" len="med"/>
                            <a:tailEnd type="triangle" w="med" len="med"/>
                          </a:ln>
                        </wps:spPr>
                        <wps:bodyPr/>
                      </wps:wsp>
                      <wps:wsp>
                        <wps:cNvPr id="218" name="文本框 229"/>
                        <wps:cNvSpPr txBox="1"/>
                        <wps:spPr>
                          <a:xfrm>
                            <a:off x="1809750" y="2148840"/>
                            <a:ext cx="1466215" cy="274320"/>
                          </a:xfrm>
                          <a:prstGeom prst="rect">
                            <a:avLst/>
                          </a:prstGeom>
                          <a:noFill/>
                          <a:ln>
                            <a:noFill/>
                          </a:ln>
                        </wps:spPr>
                        <wps:txbx>
                          <w:txbxContent>
                            <w:p w14:paraId="21C44B45">
                              <w:pPr>
                                <w:ind w:firstLine="0" w:firstLineChars="0"/>
                                <w:rPr>
                                  <w:sz w:val="21"/>
                                </w:rPr>
                              </w:pPr>
                              <w:r>
                                <w:rPr>
                                  <w:rFonts w:hint="eastAsia"/>
                                  <w:sz w:val="21"/>
                                </w:rPr>
                                <w:t>进入产品及损耗80.0</w:t>
                              </w:r>
                            </w:p>
                          </w:txbxContent>
                        </wps:txbx>
                        <wps:bodyPr upright="1"/>
                      </wps:wsp>
                      <wps:wsp>
                        <wps:cNvPr id="219" name="文本框 231"/>
                        <wps:cNvSpPr txBox="1"/>
                        <wps:spPr>
                          <a:xfrm>
                            <a:off x="1800225" y="2806065"/>
                            <a:ext cx="1266825" cy="274320"/>
                          </a:xfrm>
                          <a:prstGeom prst="rect">
                            <a:avLst/>
                          </a:prstGeom>
                          <a:noFill/>
                          <a:ln>
                            <a:noFill/>
                          </a:ln>
                        </wps:spPr>
                        <wps:txbx>
                          <w:txbxContent>
                            <w:p w14:paraId="77B3982C">
                              <w:pPr>
                                <w:pStyle w:val="23"/>
                              </w:pPr>
                              <w:r>
                                <w:rPr>
                                  <w:rFonts w:hint="eastAsia"/>
                                </w:rPr>
                                <w:t>4.0回用于生产</w:t>
                              </w:r>
                            </w:p>
                          </w:txbxContent>
                        </wps:txbx>
                        <wps:bodyPr upright="1"/>
                      </wps:wsp>
                      <wps:wsp>
                        <wps:cNvPr id="220" name="直接连接符 233"/>
                        <wps:cNvCnPr/>
                        <wps:spPr>
                          <a:xfrm flipH="1">
                            <a:off x="1476375" y="3036570"/>
                            <a:ext cx="1628775" cy="1270"/>
                          </a:xfrm>
                          <a:prstGeom prst="line">
                            <a:avLst/>
                          </a:prstGeom>
                          <a:ln w="9525" cap="flat" cmpd="sng">
                            <a:solidFill>
                              <a:srgbClr val="000000"/>
                            </a:solidFill>
                            <a:prstDash val="solid"/>
                            <a:headEnd type="none" w="med" len="med"/>
                            <a:tailEnd type="none" w="med" len="med"/>
                          </a:ln>
                        </wps:spPr>
                        <wps:bodyPr/>
                      </wps:wsp>
                      <wps:wsp>
                        <wps:cNvPr id="221" name="直接连接符 235"/>
                        <wps:cNvCnPr/>
                        <wps:spPr>
                          <a:xfrm>
                            <a:off x="3114040" y="2036445"/>
                            <a:ext cx="635" cy="1000125"/>
                          </a:xfrm>
                          <a:prstGeom prst="line">
                            <a:avLst/>
                          </a:prstGeom>
                          <a:ln w="9525" cap="flat" cmpd="sng">
                            <a:solidFill>
                              <a:srgbClr val="000000"/>
                            </a:solidFill>
                            <a:prstDash val="solid"/>
                            <a:headEnd type="none" w="med" len="med"/>
                            <a:tailEnd type="none" w="med" len="med"/>
                          </a:ln>
                        </wps:spPr>
                        <wps:bodyPr/>
                      </wps:wsp>
                      <wps:wsp>
                        <wps:cNvPr id="222" name="文本框 237"/>
                        <wps:cNvSpPr txBox="1"/>
                        <wps:spPr>
                          <a:xfrm>
                            <a:off x="108585" y="2934335"/>
                            <a:ext cx="600075" cy="476250"/>
                          </a:xfrm>
                          <a:prstGeom prst="rect">
                            <a:avLst/>
                          </a:prstGeom>
                          <a:noFill/>
                          <a:ln>
                            <a:noFill/>
                          </a:ln>
                        </wps:spPr>
                        <wps:txbx>
                          <w:txbxContent>
                            <w:p w14:paraId="16E1B8F3">
                              <w:pPr>
                                <w:ind w:firstLine="0" w:firstLineChars="0"/>
                                <w:rPr>
                                  <w:sz w:val="21"/>
                                </w:rPr>
                              </w:pPr>
                              <w:r>
                                <w:rPr>
                                  <w:rFonts w:hint="eastAsia"/>
                                  <w:sz w:val="21"/>
                                </w:rPr>
                                <w:t>新鲜水95.8</w:t>
                              </w:r>
                            </w:p>
                          </w:txbxContent>
                        </wps:txbx>
                        <wps:bodyPr upright="1"/>
                      </wps:wsp>
                      <wps:wsp>
                        <wps:cNvPr id="223" name="直接连接符 239"/>
                        <wps:cNvCnPr/>
                        <wps:spPr>
                          <a:xfrm>
                            <a:off x="2809875" y="2028825"/>
                            <a:ext cx="304800" cy="635"/>
                          </a:xfrm>
                          <a:prstGeom prst="line">
                            <a:avLst/>
                          </a:prstGeom>
                          <a:ln w="9525" cap="flat" cmpd="sng">
                            <a:solidFill>
                              <a:srgbClr val="000000"/>
                            </a:solidFill>
                            <a:prstDash val="solid"/>
                            <a:headEnd type="none" w="med" len="med"/>
                            <a:tailEnd type="none" w="med" len="med"/>
                          </a:ln>
                        </wps:spPr>
                        <wps:bodyPr/>
                      </wps:wsp>
                      <wps:wsp>
                        <wps:cNvPr id="224" name="直接连接符 241"/>
                        <wps:cNvCnPr/>
                        <wps:spPr>
                          <a:xfrm flipV="1">
                            <a:off x="1480185" y="2548255"/>
                            <a:ext cx="635" cy="495300"/>
                          </a:xfrm>
                          <a:prstGeom prst="line">
                            <a:avLst/>
                          </a:prstGeom>
                          <a:ln w="9525" cap="flat" cmpd="sng">
                            <a:solidFill>
                              <a:srgbClr val="000000"/>
                            </a:solidFill>
                            <a:prstDash val="solid"/>
                            <a:headEnd type="none" w="med" len="med"/>
                            <a:tailEnd type="triangle" w="med" len="med"/>
                          </a:ln>
                        </wps:spPr>
                        <wps:bodyPr/>
                      </wps:wsp>
                    </wpc:wpc>
                  </a:graphicData>
                </a:graphic>
              </wp:inline>
            </w:drawing>
          </mc:Choice>
          <mc:Fallback>
            <w:pict>
              <v:group id="_x0000_s1026" o:spid="_x0000_s1026" o:spt="203" style="height:294.4pt;width:451.5pt;" coordsize="5734050,3738880" editas="canvas" o:gfxdata="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">
                <o:lock v:ext="edit" aspectratio="f"/>
                <v:shape id="_x0000_s1026" o:spid="_x0000_s1026" style="position:absolute;left:0;top:0;height:3738880;width:5734050;" filled="f" stroked="f" coordsize="21600,21600" o:gfxdata="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">
                  <v:fill on="f" focussize="0,0"/>
                  <v:stroke on="f"/>
                  <v:imagedata o:title=""/>
                  <o:lock v:ext="edit" aspectratio="t"/>
                </v:shape>
                <v:shape id="文本框 167" o:spid="_x0000_s1026" o:spt="202" type="#_x0000_t202" style="position:absolute;left:1399540;top:255270;height:296545;width:981075;" filled="f" stroked="t" coordsize="21600,21600" o:gfxdata="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CX747TAAAABQEAAA8AAAAAAAAAAQAgAAAA&#10;IgAAAGRycy9kb3ducmV2LnhtbFBLAQIUABQAAAAIAIdO4kCa7hqdEAIAABsEAAAOAAAAAAAAAAEA&#10;IAAAACIBAABkcnMvZTJvRG9jLnhtbFBLBQYAAAAABgAGAFkBAACkBQAAAAA=&#10;">
                  <v:fill on="f" focussize="0,0"/>
                  <v:stroke color="#000000" joinstyle="miter"/>
                  <v:imagedata o:title=""/>
                  <o:lock v:ext="edit" aspectratio="f"/>
                  <v:textbox>
                    <w:txbxContent>
                      <w:p w14:paraId="6A776126">
                        <w:pPr>
                          <w:pStyle w:val="23"/>
                        </w:pPr>
                        <w:r>
                          <w:rPr>
                            <w:rFonts w:hint="eastAsia"/>
                          </w:rPr>
                          <w:t>生活用水</w:t>
                        </w:r>
                      </w:p>
                    </w:txbxContent>
                  </v:textbox>
                </v:shape>
                <v:shape id="文本框 169" o:spid="_x0000_s1026" o:spt="202" type="#_x0000_t202" style="position:absolute;left:1400175;top:777240;height:296545;width:1029970;" filled="f" stroked="t" coordsize="21600,21600" o:gfxdata="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JfvjtMAAAAFAQAADwAAAAAAAAABACAA&#10;AAAiAAAAZHJzL2Rvd25yZXYueG1sUEsBAhQAFAAAAAgAh07iQL2l9u8SAgAAHAQAAA4AAAAAAAAA&#10;AQAgAAAAIgEAAGRycy9lMm9Eb2MueG1sUEsFBgAAAAAGAAYAWQEAAKYFAAAAAA==&#10;">
                  <v:fill on="f" focussize="0,0"/>
                  <v:stroke color="#000000" joinstyle="miter"/>
                  <v:imagedata o:title=""/>
                  <o:lock v:ext="edit" aspectratio="f"/>
                  <v:textbox>
                    <w:txbxContent>
                      <w:p w14:paraId="0A67EF65">
                        <w:pPr>
                          <w:pStyle w:val="23"/>
                        </w:pPr>
                        <w:r>
                          <w:rPr>
                            <w:rFonts w:hint="eastAsia"/>
                          </w:rPr>
                          <w:t>未可预见用水</w:t>
                        </w:r>
                      </w:p>
                    </w:txbxContent>
                  </v:textbox>
                </v:shape>
                <v:shape id="文本框 171" o:spid="_x0000_s1026" o:spt="202" type="#_x0000_t202" style="position:absolute;left:1400175;top:1343025;height:296545;width:1038225;" filled="f" stroked="t" coordsize="21600,21600" o:gfxdata="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Al++O0wAAAAUBAAAPAAAAAAAAAAEAIAAA&#10;ACIAAABkcnMvZG93bnJldi54bWxQSwECFAAUAAAACACHTuJAzx0z3BECAAAdBAAADgAAAAAAAAAB&#10;ACAAAAAiAQAAZHJzL2Uyb0RvYy54bWxQSwUGAAAAAAYABgBZAQAApQUAAAAA&#10;">
                  <v:fill on="f" focussize="0,0"/>
                  <v:stroke color="#000000" joinstyle="miter"/>
                  <v:imagedata o:title=""/>
                  <o:lock v:ext="edit" aspectratio="f"/>
                  <v:textbox>
                    <w:txbxContent>
                      <w:p w14:paraId="0995435C">
                        <w:pPr>
                          <w:pStyle w:val="23"/>
                        </w:pPr>
                        <w:r>
                          <w:rPr>
                            <w:rFonts w:hint="eastAsia"/>
                          </w:rPr>
                          <w:t>绿化用水</w:t>
                        </w:r>
                      </w:p>
                    </w:txbxContent>
                  </v:textbox>
                </v:shape>
                <v:shape id="文本框 173" o:spid="_x0000_s1026" o:spt="202" type="#_x0000_t202" style="position:absolute;left:1390650;top:1880235;height:296545;width:1429385;" filled="f" stroked="t" coordsize="21600,21600" o:gfxdata="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CX747TAAAABQEAAA8AAAAAAAAAAQAg&#10;AAAAIgAAAGRycy9kb3ducmV2LnhtbFBLAQIUABQAAAAIAIdO4kDU5DGZEwIAAB0EAAAOAAAAAAAA&#10;AAEAIAAAACIBAABkcnMvZTJvRG9jLnhtbFBLBQYAAAAABgAGAFkBAACnBQAAAAA=&#10;">
                  <v:fill on="f" focussize="0,0"/>
                  <v:stroke color="#000000" joinstyle="miter"/>
                  <v:imagedata o:title=""/>
                  <o:lock v:ext="edit" aspectratio="f"/>
                  <v:textbox>
                    <w:txbxContent>
                      <w:p w14:paraId="6785ED77">
                        <w:pPr>
                          <w:pStyle w:val="23"/>
                        </w:pPr>
                        <w:r>
                          <w:rPr>
                            <w:rFonts w:hint="eastAsia"/>
                          </w:rPr>
                          <w:t>车间、洗车台冲洗水</w:t>
                        </w:r>
                      </w:p>
                    </w:txbxContent>
                  </v:textbox>
                </v:shape>
                <v:line id="直接连接符 175" o:spid="_x0000_s1026" o:spt="20" style="position:absolute;left:666750;top:382905;height:635;width:733425;" filled="f" stroked="t" coordsize="21600,21600" o:gfxdata="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kWp8g1gAAAAUBAAAPAAAAAAAAAAEAIAAAACIAAABkcnMv&#10;ZG93bnJldi54bWxQSwECFAAUAAAACACHTuJAPVa0rgUCAADrAwAADgAAAAAAAAABACAAAAAlAQAA&#10;ZHJzL2Uyb0RvYy54bWxQSwUGAAAAAAYABgBZAQAAnAUAAAAA&#10;">
                  <v:fill on="f" focussize="0,0"/>
                  <v:stroke color="#000000" joinstyle="round" endarrow="block"/>
                  <v:imagedata o:title=""/>
                  <o:lock v:ext="edit" aspectratio="f"/>
                </v:line>
                <v:line id="直接连接符 177" o:spid="_x0000_s1026" o:spt="20" style="position:absolute;left:666750;top:933450;height:635;width:742950;" filled="f" stroked="t" coordsize="21600,21600" o:gfxdata="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RanyDWAAAABQEAAA8AAAAAAAAAAQAgAAAAIgAAAGRycy9kb3du&#10;cmV2LnhtbFBLAQIUABQAAAAIAIdO4kAc+iKPAQIAAOsDAAAOAAAAAAAAAAEAIAAAACUBAABkcnMv&#10;ZTJvRG9jLnhtbFBLBQYAAAAABgAGAFkBAACYBQAAAAA=&#10;">
                  <v:fill on="f" focussize="0,0"/>
                  <v:stroke color="#000000" joinstyle="round" endarrow="block"/>
                  <v:imagedata o:title=""/>
                  <o:lock v:ext="edit" aspectratio="f"/>
                </v:line>
                <v:line id="直接连接符 179" o:spid="_x0000_s1026" o:spt="20" style="position:absolute;left:666750;top:384810;height:3190240;width:635;" filled="f" stroked="t" coordsize="21600,21600" o:gfxdata="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cuPEDUAAAABQEAAA8AAAAAAAAAAQAgAAAAIgAAAGRycy9kb3ducmV2Lnht&#10;bFBLAQIUABQAAAAIAIdO4kBEo+vH/QEAAOgDAAAOAAAAAAAAAAEAIAAAACMBAABkcnMvZTJvRG9j&#10;LnhtbFBLBQYAAAAABgAGAFkBAACSBQAAAAA=&#10;">
                  <v:fill on="f" focussize="0,0"/>
                  <v:stroke color="#000000" joinstyle="round"/>
                  <v:imagedata o:title=""/>
                  <o:lock v:ext="edit" aspectratio="f"/>
                </v:line>
                <v:line id="直接连接符 181" o:spid="_x0000_s1026" o:spt="20" style="position:absolute;left:666750;top:1493520;height:635;width:733425;" filled="f" stroked="t" coordsize="21600,21600" o:gfxdata="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RanyDWAAAABQEAAA8AAAAAAAAAAQAgAAAAIgAAAGRycy9kb3du&#10;cmV2LnhtbFBLAQIUABQAAAAIAIdO4kCeyROkAQIAAOwDAAAOAAAAAAAAAAEAIAAAACUBAABkcnMv&#10;ZTJvRG9jLnhtbFBLBQYAAAAABgAGAFkBAACYBQAAAAA=&#10;">
                  <v:fill on="f" focussize="0,0"/>
                  <v:stroke color="#000000" joinstyle="round" endarrow="block"/>
                  <v:imagedata o:title=""/>
                  <o:lock v:ext="edit" aspectratio="f"/>
                </v:line>
                <v:line id="直接连接符 183" o:spid="_x0000_s1026" o:spt="20" style="position:absolute;left:666750;top:2040255;height:635;width:733425;" filled="f" stroked="t" coordsize="21600,21600" o:gfxdata="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kWp8g1gAAAAUBAAAPAAAAAAAAAAEAIAAAACIAAABkcnMv&#10;ZG93bnJldi54bWxQSwECFAAUAAAACACHTuJAMzJ68gUCAADsAwAADgAAAAAAAAABACAAAAAlAQAA&#10;ZHJzL2Uyb0RvYy54bWxQSwUGAAAAAAYABgBZAQAAnAUAAAAA&#10;">
                  <v:fill on="f" focussize="0,0"/>
                  <v:stroke color="#000000" joinstyle="round" endarrow="block"/>
                  <v:imagedata o:title=""/>
                  <o:lock v:ext="edit" aspectratio="f"/>
                </v:line>
                <v:line id="直接连接符 185" o:spid="_x0000_s1026" o:spt="20" style="position:absolute;left:2390775;top:392430;height:635;width:609600;" filled="f" stroked="t" coordsize="21600,21600" o:gfxdata="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&#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RanyDWAAAABQEAAA8AAAAAAAAAAQAgAAAAIgAAAGRy&#10;cy9kb3ducmV2LnhtbFBLAQIUABQAAAAIAIdO4kCeE4MUBwIAAOwDAAAOAAAAAAAAAAEAIAAAACUB&#10;AABkcnMvZTJvRG9jLnhtbFBLBQYAAAAABgAGAFkBAACeBQAAAAA=&#10;">
                  <v:fill on="f" focussize="0,0"/>
                  <v:stroke color="#000000" joinstyle="round" endarrow="block"/>
                  <v:imagedata o:title=""/>
                  <o:lock v:ext="edit" aspectratio="f"/>
                </v:line>
                <v:shape id="文本框 187" o:spid="_x0000_s1026" o:spt="202" type="#_x0000_t202" style="position:absolute;left:2999740;top:255270;height:296545;width:734060;" filled="f" stroked="t" coordsize="21600,21600" o:gfxdata="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Al++O0wAAAAUBAAAPAAAAAAAAAAEAIAAA&#10;ACIAAABkcnMvZG93bnJldi54bWxQSwECFAAUAAAACACHTuJApzqAzhECAAAbBAAADgAAAAAAAAAB&#10;ACAAAAAiAQAAZHJzL2Uyb0RvYy54bWxQSwUGAAAAAAYABgBZAQAApQUAAAAA&#10;">
                  <v:fill on="f" focussize="0,0"/>
                  <v:stroke color="#000000" joinstyle="miter"/>
                  <v:imagedata o:title=""/>
                  <o:lock v:ext="edit" aspectratio="f"/>
                  <v:textbox>
                    <w:txbxContent>
                      <w:p w14:paraId="75EE90BF">
                        <w:pPr>
                          <w:pStyle w:val="23"/>
                        </w:pPr>
                        <w:r>
                          <w:rPr>
                            <w:rFonts w:hint="eastAsia"/>
                          </w:rPr>
                          <w:t>生活污水</w:t>
                        </w:r>
                      </w:p>
                    </w:txbxContent>
                  </v:textbox>
                </v:shape>
                <v:shape id="文本框 189" o:spid="_x0000_s1026" o:spt="202" type="#_x0000_t202" style="position:absolute;left:809625;top:169545;height:274320;width:44767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X1e/3TAAAABQEAAA8AAAAAAAAAAQAgAAAAIgAAAGRycy9kb3ducmV2LnhtbFBLAQIUABQAAAAI&#10;AIdO4kB57iVpuQEAAFsDAAAOAAAAAAAAAAEAIAAAACIBAABkcnMvZTJvRG9jLnhtbFBLBQYAAAAA&#10;BgAGAFkBAABNBQAAAAA=&#10;">
                  <v:fill on="f" focussize="0,0"/>
                  <v:stroke on="f"/>
                  <v:imagedata o:title=""/>
                  <o:lock v:ext="edit" aspectratio="f"/>
                  <v:textbox>
                    <w:txbxContent>
                      <w:p w14:paraId="6F464582">
                        <w:pPr>
                          <w:pStyle w:val="23"/>
                        </w:pPr>
                        <w:r>
                          <w:rPr>
                            <w:rFonts w:hint="eastAsia"/>
                          </w:rPr>
                          <w:t>4.6</w:t>
                        </w:r>
                      </w:p>
                    </w:txbxContent>
                  </v:textbox>
                </v:shape>
                <v:shape id="文本框 191" o:spid="_x0000_s1026" o:spt="202" type="#_x0000_t202" style="position:absolute;left:2524125;top:179070;height:274320;width:44767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X1e/3TAAAABQEAAA8AAAAAAAAAAQAgAAAAIgAAAGRycy9kb3ducmV2LnhtbFBLAQIUABQAAAAI&#10;AIdO4kAxn6UiuQEAAFwDAAAOAAAAAAAAAAEAIAAAACIBAABkcnMvZTJvRG9jLnhtbFBLBQYAAAAA&#10;BgAGAFkBAABNBQAAAAA=&#10;">
                  <v:fill on="f" focussize="0,0"/>
                  <v:stroke on="f"/>
                  <v:imagedata o:title=""/>
                  <o:lock v:ext="edit" aspectratio="f"/>
                  <v:textbox>
                    <w:txbxContent>
                      <w:p w14:paraId="43D8E813">
                        <w:pPr>
                          <w:pStyle w:val="23"/>
                        </w:pPr>
                        <w:r>
                          <w:rPr>
                            <w:rFonts w:hint="eastAsia"/>
                          </w:rPr>
                          <w:t>3.7</w:t>
                        </w:r>
                      </w:p>
                    </w:txbxContent>
                  </v:textbox>
                </v:shape>
                <v:shape id="文本框 193" o:spid="_x0000_s1026" o:spt="202" type="#_x0000_t202" style="position:absolute;left:800100;top:706755;height:274320;width:44767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X1e/3TAAAABQEAAA8AAAAAAAAAAQAgAAAAIgAAAGRycy9kb3ducmV2LnhtbFBLAQIUABQAAAAI&#10;AIdO4kDyTeckuQEAAFsDAAAOAAAAAAAAAAEAIAAAACIBAABkcnMvZTJvRG9jLnhtbFBLBQYAAAAA&#10;BgAGAFkBAABNBQAAAAA=&#10;">
                  <v:fill on="f" focussize="0,0"/>
                  <v:stroke on="f"/>
                  <v:imagedata o:title=""/>
                  <o:lock v:ext="edit" aspectratio="f"/>
                  <v:textbox>
                    <w:txbxContent>
                      <w:p w14:paraId="0E8FA3D3">
                        <w:pPr>
                          <w:pStyle w:val="23"/>
                        </w:pPr>
                        <w:r>
                          <w:rPr>
                            <w:rFonts w:hint="eastAsia"/>
                          </w:rPr>
                          <w:t>8.2</w:t>
                        </w:r>
                      </w:p>
                    </w:txbxContent>
                  </v:textbox>
                </v:shape>
                <v:shape id="文本框 195" o:spid="_x0000_s1026" o:spt="202" type="#_x0000_t202" style="position:absolute;left:819150;top:1253490;height:274320;width:44767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X1e/3TAAAABQEAAA8AAAAAAAAAAQAgAAAAIgAAAGRycy9kb3ducmV2LnhtbFBLAQIUABQAAAAI&#10;AIdO4kBC6Oi0uQEAAFwDAAAOAAAAAAAAAAEAIAAAACIBAABkcnMvZTJvRG9jLnhtbFBLBQYAAAAA&#10;BgAGAFkBAABNBQAAAAA=&#10;">
                  <v:fill on="f" focussize="0,0"/>
                  <v:stroke on="f"/>
                  <v:imagedata o:title=""/>
                  <o:lock v:ext="edit" aspectratio="f"/>
                  <v:textbox>
                    <w:txbxContent>
                      <w:p w14:paraId="5A340AA0">
                        <w:pPr>
                          <w:ind w:firstLine="0" w:firstLineChars="0"/>
                          <w:rPr>
                            <w:sz w:val="21"/>
                          </w:rPr>
                        </w:pPr>
                        <w:r>
                          <w:rPr>
                            <w:rFonts w:hint="eastAsia"/>
                            <w:sz w:val="21"/>
                          </w:rPr>
                          <w:t>2.0</w:t>
                        </w:r>
                      </w:p>
                    </w:txbxContent>
                  </v:textbox>
                </v:shape>
                <v:shape id="文本框 197" o:spid="_x0000_s1026" o:spt="202" type="#_x0000_t202" style="position:absolute;left:800100;top:1790700;height:274320;width:44767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X1e/3TAAAABQEAAA8AAAAAAAAAAQAgAAAAIgAAAGRycy9kb3ducmV2LnhtbFBLAQIUABQAAAAI&#10;AIdO4kB3Eh+luQEAAFwDAAAOAAAAAAAAAAEAIAAAACIBAABkcnMvZTJvRG9jLnhtbFBLBQYAAAAA&#10;BgAGAFkBAABNBQAAAAA=&#10;">
                  <v:fill on="f" focussize="0,0"/>
                  <v:stroke on="f"/>
                  <v:imagedata o:title=""/>
                  <o:lock v:ext="edit" aspectratio="f"/>
                  <v:textbox>
                    <w:txbxContent>
                      <w:p w14:paraId="7C035CFB">
                        <w:pPr>
                          <w:pStyle w:val="23"/>
                        </w:pPr>
                        <w:r>
                          <w:rPr>
                            <w:rFonts w:hint="eastAsia"/>
                          </w:rPr>
                          <w:t>5.0</w:t>
                        </w:r>
                      </w:p>
                    </w:txbxContent>
                  </v:textbox>
                </v:shape>
                <v:shape id="文本框 199" o:spid="_x0000_s1026" o:spt="202" type="#_x0000_t202" style="position:absolute;left:4333875;top:198120;height:668655;width:933450;"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X1e/3TAAAABQEAAA8AAAAAAAAAAQAgAAAAIgAAAGRycy9kb3ducmV2LnhtbFBLAQIUABQAAAAI&#10;AIdO4kDRUvhHuQEAAFwDAAAOAAAAAAAAAAEAIAAAACIBAABkcnMvZTJvRG9jLnhtbFBLBQYAAAAA&#10;BgAGAFkBAABNBQAAAAA=&#10;">
                  <v:fill on="f" focussize="0,0"/>
                  <v:stroke on="f"/>
                  <v:imagedata o:title=""/>
                  <o:lock v:ext="edit" aspectratio="f"/>
                  <v:textbox>
                    <w:txbxContent>
                      <w:p w14:paraId="59F2E897">
                        <w:pPr>
                          <w:pStyle w:val="23"/>
                          <w:rPr>
                            <w:lang w:eastAsia="zh-CN"/>
                          </w:rPr>
                        </w:pPr>
                        <w:r>
                          <w:rPr>
                            <w:rFonts w:hint="eastAsia"/>
                            <w:lang w:eastAsia="zh-CN"/>
                          </w:rPr>
                          <w:t>纳入福州市洋里污水处理厂</w:t>
                        </w:r>
                      </w:p>
                      <w:p w14:paraId="7DFB5B6D">
                        <w:pPr>
                          <w:rPr>
                            <w:lang w:eastAsia="zh-CN"/>
                          </w:rPr>
                        </w:pPr>
                      </w:p>
                    </w:txbxContent>
                  </v:textbox>
                </v:shape>
                <v:line id="直接连接符 201" o:spid="_x0000_s1026" o:spt="20" style="position:absolute;left:1524000;top:118110;flip:y;height:137160;width:209550;" filled="f" stroked="t" coordsize="21600,21600" o:gfxdata="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3gq/bTAAAABQEAAA8AAAAAAAAAAQAgAAAAIgAA&#10;AGRycy9kb3ducmV2LnhtbFBLAQIUABQAAAAIAIdO4kDiX9oiDQIAAPgDAAAOAAAAAAAAAAEAIAAA&#10;ACIBAABkcnMvZTJvRG9jLnhtbFBLBQYAAAAABgAGAFkBAAChBQAAAAA=&#10;">
                  <v:fill on="f" focussize="0,0"/>
                  <v:stroke color="#000000" joinstyle="round" dashstyle="dash" endarrow="block"/>
                  <v:imagedata o:title=""/>
                  <o:lock v:ext="edit" aspectratio="f"/>
                </v:line>
                <v:shape id="文本框 203" o:spid="_x0000_s1026" o:spt="202" type="#_x0000_t202" style="position:absolute;left:1657350;top:0;height:274320;width:73342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fV7&#10;/dMAAAAFAQAADwAAAAAAAAABACAAAAAiAAAAZHJzL2Rvd25yZXYueG1sUEsBAhQAFAAAAAgAh07i&#10;QM0TMfi1AQAAVwMAAA4AAAAAAAAAAQAgAAAAIgEAAGRycy9lMm9Eb2MueG1sUEsFBgAAAAAGAAYA&#10;WQEAAEkFAAAAAA==&#10;">
                  <v:fill on="f" focussize="0,0"/>
                  <v:stroke on="f"/>
                  <v:imagedata o:title=""/>
                  <o:lock v:ext="edit" aspectratio="f"/>
                  <v:textbox>
                    <w:txbxContent>
                      <w:p w14:paraId="18478CFE">
                        <w:pPr>
                          <w:pStyle w:val="23"/>
                        </w:pPr>
                        <w:r>
                          <w:rPr>
                            <w:rFonts w:hint="eastAsia"/>
                          </w:rPr>
                          <w:t>损耗0.9</w:t>
                        </w:r>
                      </w:p>
                    </w:txbxContent>
                  </v:textbox>
                </v:shape>
                <v:line id="直接连接符 205" o:spid="_x0000_s1026" o:spt="20" style="position:absolute;left:1543050;top:649605;flip:y;height:137160;width:209550;" filled="f" stroked="t" coordsize="21600,21600" o:gfxdata="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3gq/bTAAAABQEAAA8AAAAAAAAAAQAgAAAA&#10;IgAAAGRycy9kb3ducmV2LnhtbFBLAQIUABQAAAAIAIdO4kDBwWawEAIAAPgDAAAOAAAAAAAAAAEA&#10;IAAAACIBAABkcnMvZTJvRG9jLnhtbFBLBQYAAAAABgAGAFkBAACkBQAAAAA=&#10;">
                  <v:fill on="f" focussize="0,0"/>
                  <v:stroke color="#000000" joinstyle="round" dashstyle="dash" endarrow="block"/>
                  <v:imagedata o:title=""/>
                  <o:lock v:ext="edit" aspectratio="f"/>
                </v:line>
                <v:shape id="_x0000_s1026" o:spid="_x0000_s1026" o:spt="202" type="#_x0000_t202" style="position:absolute;left:1676400;top:531495;height:274320;width:73342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F9Xv90wAAAAUBAAAPAAAAAAAAAAEAIAAAACIAAABkcnMvZG93bnJldi54bWxQSwECFAAUAAAA&#10;CACHTuJAYoaYProBAABcAwAADgAAAAAAAAABACAAAAAiAQAAZHJzL2Uyb0RvYy54bWxQSwUGAAAA&#10;AAYABgBZAQAATgUAAAAA&#10;">
                  <v:fill on="f" focussize="0,0"/>
                  <v:stroke on="f"/>
                  <v:imagedata o:title=""/>
                  <o:lock v:ext="edit" aspectratio="f"/>
                  <v:textbox>
                    <w:txbxContent>
                      <w:p w14:paraId="55C1041D">
                        <w:pPr>
                          <w:pStyle w:val="23"/>
                        </w:pPr>
                        <w:r>
                          <w:rPr>
                            <w:rFonts w:hint="eastAsia"/>
                          </w:rPr>
                          <w:t>损耗8.2</w:t>
                        </w:r>
                      </w:p>
                    </w:txbxContent>
                  </v:textbox>
                </v:shape>
                <v:line id="直接连接符 209" o:spid="_x0000_s1026" o:spt="20" style="position:absolute;left:1524000;top:1202055;flip:y;height:137160;width:209550;" filled="f" stroked="t" coordsize="21600,21600" o:gfxdata="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3gq/bTAAAABQEAAA8AAAAAAAAAAQAgAAAAIgAA&#10;AGRycy9kb3ducmV2LnhtbFBLAQIUABQAAAAIAIdO4kCg1W68DQIAAPkDAAAOAAAAAAAAAAEAIAAA&#10;ACIBAABkcnMvZTJvRG9jLnhtbFBLBQYAAAAABgAGAFkBAAChBQAAAAA=&#10;">
                  <v:fill on="f" focussize="0,0"/>
                  <v:stroke color="#000000" joinstyle="round" dashstyle="dash" endarrow="block"/>
                  <v:imagedata o:title=""/>
                  <o:lock v:ext="edit" aspectratio="f"/>
                </v:line>
                <v:shape id="文本框 211" o:spid="_x0000_s1026" o:spt="202" type="#_x0000_t202" style="position:absolute;left:1657350;top:1093470;height:274320;width:73342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xfV7/dMAAAAFAQAADwAAAAAAAAABACAAAAAiAAAAZHJzL2Rvd25yZXYueG1sUEsBAhQAFAAA&#10;AAgAh07iQDCKEZ67AQAAXQMAAA4AAAAAAAAAAQAgAAAAIgEAAGRycy9lMm9Eb2MueG1sUEsFBgAA&#10;AAAGAAYAWQEAAE8FAAAAAA==&#10;">
                  <v:fill on="f" focussize="0,0"/>
                  <v:stroke on="f"/>
                  <v:imagedata o:title=""/>
                  <o:lock v:ext="edit" aspectratio="f"/>
                  <v:textbox>
                    <w:txbxContent>
                      <w:p w14:paraId="07DA8D79">
                        <w:pPr>
                          <w:ind w:firstLine="0" w:firstLineChars="0"/>
                          <w:rPr>
                            <w:sz w:val="21"/>
                          </w:rPr>
                        </w:pPr>
                        <w:r>
                          <w:rPr>
                            <w:rFonts w:hint="eastAsia"/>
                            <w:sz w:val="21"/>
                          </w:rPr>
                          <w:t>损耗2.0</w:t>
                        </w:r>
                      </w:p>
                    </w:txbxContent>
                  </v:textbox>
                </v:shape>
                <v:line id="直接连接符 213" o:spid="_x0000_s1026" o:spt="20" style="position:absolute;left:1514475;top:1739265;flip:y;height:137160;width:209550;" filled="f" stroked="t" coordsize="21600,21600" o:gfxdata="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3gq/bTAAAABQEAAA8AAAAAAAAAAQAgAAAA&#10;IgAAAGRycy9kb3ducmV2LnhtbFBLAQIUABQAAAAIAIdO4kDYjReSEAIAAPkDAAAOAAAAAAAAAAEA&#10;IAAAACIBAABkcnMvZTJvRG9jLnhtbFBLBQYAAAAABgAGAFkBAACkBQAAAAA=&#10;">
                  <v:fill on="f" focussize="0,0"/>
                  <v:stroke color="#000000" joinstyle="round" dashstyle="dash" endarrow="block"/>
                  <v:imagedata o:title=""/>
                  <o:lock v:ext="edit" aspectratio="f"/>
                </v:line>
                <v:shape id="文本框 215" o:spid="_x0000_s1026" o:spt="202" type="#_x0000_t202" style="position:absolute;left:1647825;top:1621155;height:274320;width:73342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X1e/3TAAAABQEAAA8AAAAAAAAAAQAgAAAAIgAAAGRycy9kb3ducmV2LnhtbFBLAQIUABQAAAAI&#10;AIdO4kBKbJD4uQEAAF0DAAAOAAAAAAAAAAEAIAAAACIBAABkcnMvZTJvRG9jLnhtbFBLBQYAAAAA&#10;BgAGAFkBAABNBQAAAAA=&#10;">
                  <v:fill on="f" focussize="0,0"/>
                  <v:stroke on="f"/>
                  <v:imagedata o:title=""/>
                  <o:lock v:ext="edit" aspectratio="f"/>
                  <v:textbox>
                    <w:txbxContent>
                      <w:p w14:paraId="2D7279C7">
                        <w:pPr>
                          <w:ind w:firstLine="0" w:firstLineChars="0"/>
                          <w:rPr>
                            <w:sz w:val="21"/>
                          </w:rPr>
                        </w:pPr>
                        <w:r>
                          <w:rPr>
                            <w:rFonts w:hint="eastAsia"/>
                            <w:sz w:val="21"/>
                          </w:rPr>
                          <w:t>损耗1.0</w:t>
                        </w:r>
                      </w:p>
                    </w:txbxContent>
                  </v:textbox>
                </v:shape>
                <v:line id="直接连接符 217" o:spid="_x0000_s1026" o:spt="20" style="position:absolute;left:3733800;top:396240;height:635;width:542925;" filled="f" stroked="t" coordsize="21600,21600" o:gfxdata="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kWp8g1gAAAAUBAAAPAAAAAAAAAAEAIAAAACIAAABkcnMvZG93&#10;bnJldi54bWxQSwECFAAUAAAACACHTuJAccdNtAICAADsAwAADgAAAAAAAAABACAAAAAlAQAAZHJz&#10;L2Uyb0RvYy54bWxQSwUGAAAAAAYABgBZAQAAmQUAAAAA&#10;">
                  <v:fill on="f" focussize="0,0"/>
                  <v:stroke color="#000000" joinstyle="round" endarrow="block"/>
                  <v:imagedata o:title=""/>
                  <o:lock v:ext="edit" aspectratio="f"/>
                </v:line>
                <v:shape id="文本框 219" o:spid="_x0000_s1026" o:spt="202" type="#_x0000_t202" style="position:absolute;left:3800475;top:184785;height:274320;width:48450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xfV7/dMAAAAFAQAADwAAAAAAAAABACAAAAAiAAAAZHJzL2Rvd25yZXYueG1sUEsBAhQAFAAA&#10;AAgAh07iQPgDMIu7AQAAXAMAAA4AAAAAAAAAAQAgAAAAIgEAAGRycy9lMm9Eb2MueG1sUEsFBgAA&#10;AAAGAAYAWQEAAE8FAAAAAA==&#10;">
                  <v:fill on="f" focussize="0,0"/>
                  <v:stroke on="f"/>
                  <v:imagedata o:title=""/>
                  <o:lock v:ext="edit" aspectratio="f"/>
                  <v:textbox>
                    <w:txbxContent>
                      <w:p w14:paraId="0242C5E1">
                        <w:pPr>
                          <w:pStyle w:val="23"/>
                        </w:pPr>
                        <w:r>
                          <w:rPr>
                            <w:rFonts w:hint="eastAsia"/>
                          </w:rPr>
                          <w:t>3.7</w:t>
                        </w:r>
                      </w:p>
                    </w:txbxContent>
                  </v:textbox>
                </v:shape>
                <v:shape id="文本框 221" o:spid="_x0000_s1026" o:spt="202" type="#_x0000_t202" style="position:absolute;left:1685925;top:2419985;height:296545;width:1047750;" filled="f" stroked="t" coordsize="21600,21600" o:gfxdata="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CX747TAAAABQEAAA8AAAAAAAAAAQAg&#10;AAAAIgAAAGRycy9kb3ducmV2LnhtbFBLAQIUABQAAAAIAIdO4kALSh2lEwIAAB0EAAAOAAAAAAAA&#10;AAEAIAAAACIBAABkcnMvZTJvRG9jLnhtbFBLBQYAAAAABgAGAFkBAACnBQAAAAA=&#10;">
                  <v:fill on="f" focussize="0,0"/>
                  <v:stroke color="#000000" joinstyle="miter"/>
                  <v:imagedata o:title=""/>
                  <o:lock v:ext="edit" aspectratio="f"/>
                  <v:textbox>
                    <w:txbxContent>
                      <w:p w14:paraId="07DCB72D">
                        <w:pPr>
                          <w:ind w:firstLine="0" w:firstLineChars="0"/>
                          <w:jc w:val="center"/>
                          <w:rPr>
                            <w:sz w:val="21"/>
                          </w:rPr>
                        </w:pPr>
                        <w:r>
                          <w:rPr>
                            <w:rFonts w:hint="eastAsia"/>
                            <w:sz w:val="21"/>
                          </w:rPr>
                          <w:t>工艺用水</w:t>
                        </w:r>
                      </w:p>
                    </w:txbxContent>
                  </v:textbox>
                </v:shape>
                <v:line id="直接连接符 223" o:spid="_x0000_s1026" o:spt="20" style="position:absolute;left:676275;top:2541270;height:635;width:1009650;" filled="f" stroked="t" coordsize="21600,21600" o:gfxdata="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FqfINYAAAAFAQAADwAAAAAAAAABACAAAAAiAAAAZHJzL2Rv&#10;d25yZXYueG1sUEsBAhQAFAAAAAgAh07iQK7wtkADAgAA7QMAAA4AAAAAAAAAAQAgAAAAJQEAAGRy&#10;cy9lMm9Eb2MueG1sUEsFBgAAAAAGAAYAWQEAAJoFAAAAAA==&#10;">
                  <v:fill on="f" focussize="0,0"/>
                  <v:stroke color="#000000" joinstyle="round" endarrow="block"/>
                  <v:imagedata o:title=""/>
                  <o:lock v:ext="edit" aspectratio="f"/>
                </v:line>
                <v:shape id="文本框 225" o:spid="_x0000_s1026" o:spt="202" type="#_x0000_t202" style="position:absolute;left:714375;top:2327910;height:274320;width:46672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X1e/3TAAAABQEAAA8AAAAAAAAAAQAgAAAAIgAAAGRycy9kb3ducmV2LnhtbFBLAQIUABQAAAAI&#10;AIdO4kCiNVsquQEAAFwDAAAOAAAAAAAAAAEAIAAAACIBAABkcnMvZTJvRG9jLnhtbFBLBQYAAAAA&#10;BgAGAFkBAABNBQAAAAA=&#10;">
                  <v:fill on="f" focussize="0,0"/>
                  <v:stroke on="f"/>
                  <v:imagedata o:title=""/>
                  <o:lock v:ext="edit" aspectratio="f"/>
                  <v:textbox>
                    <w:txbxContent>
                      <w:p w14:paraId="7A1B2732">
                        <w:pPr>
                          <w:pStyle w:val="23"/>
                        </w:pPr>
                        <w:r>
                          <w:rPr>
                            <w:rFonts w:hint="eastAsia"/>
                          </w:rPr>
                          <w:t>76.0</w:t>
                        </w:r>
                      </w:p>
                    </w:txbxContent>
                  </v:textbox>
                </v:shape>
                <v:line id="直接连接符 227" o:spid="_x0000_s1026" o:spt="20" style="position:absolute;left:1724025;top:2286000;flip:y;height:137160;width:209550;" filled="f" stroked="t" coordsize="21600,21600" o:gfxdata="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3gq/bTAAAABQEAAA8AAAAAAAAAAQAgAAAA&#10;IgAAAGRycy9kb3ducmV2LnhtbFBLAQIUABQAAAAIAIdO4kA36d6LEAIAAPkDAAAOAAAAAAAAAAEA&#10;IAAAACIBAABkcnMvZTJvRG9jLnhtbFBLBQYAAAAABgAGAFkBAACkBQAAAAA=&#10;">
                  <v:fill on="f" focussize="0,0"/>
                  <v:stroke color="#000000" joinstyle="round" dashstyle="dash" endarrow="block"/>
                  <v:imagedata o:title=""/>
                  <o:lock v:ext="edit" aspectratio="f"/>
                </v:line>
                <v:shape id="文本框 229" o:spid="_x0000_s1026" o:spt="202" type="#_x0000_t202" style="position:absolute;left:1809750;top:2148840;height:274320;width:146621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xfV7/dMAAAAFAQAADwAAAAAAAAABACAAAAAiAAAAZHJzL2Rvd25yZXYueG1sUEsBAhQAFAAAAAgA&#10;h07iQA7wihO4AQAAXgMAAA4AAAAAAAAAAQAgAAAAIgEAAGRycy9lMm9Eb2MueG1sUEsFBgAAAAAG&#10;AAYAWQEAAEwFAAAAAA==&#10;">
                  <v:fill on="f" focussize="0,0"/>
                  <v:stroke on="f"/>
                  <v:imagedata o:title=""/>
                  <o:lock v:ext="edit" aspectratio="f"/>
                  <v:textbox>
                    <w:txbxContent>
                      <w:p w14:paraId="21C44B45">
                        <w:pPr>
                          <w:ind w:firstLine="0" w:firstLineChars="0"/>
                          <w:rPr>
                            <w:sz w:val="21"/>
                          </w:rPr>
                        </w:pPr>
                        <w:r>
                          <w:rPr>
                            <w:rFonts w:hint="eastAsia"/>
                            <w:sz w:val="21"/>
                          </w:rPr>
                          <w:t>进入产品及损耗80.0</w:t>
                        </w:r>
                      </w:p>
                    </w:txbxContent>
                  </v:textbox>
                </v:shape>
                <v:shape id="文本框 231" o:spid="_x0000_s1026" o:spt="202" type="#_x0000_t202" style="position:absolute;left:1800225;top:2806065;height:274320;width:126682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F9Xv90wAAAAUBAAAPAAAAAAAAAAEAIAAAACIAAABkcnMvZG93bnJldi54bWxQSwECFAAUAAAA&#10;CACHTuJA+jP/8boBAABeAwAADgAAAAAAAAABACAAAAAiAQAAZHJzL2Uyb0RvYy54bWxQSwUGAAAA&#10;AAYABgBZAQAATgUAAAAA&#10;">
                  <v:fill on="f" focussize="0,0"/>
                  <v:stroke on="f"/>
                  <v:imagedata o:title=""/>
                  <o:lock v:ext="edit" aspectratio="f"/>
                  <v:textbox>
                    <w:txbxContent>
                      <w:p w14:paraId="77B3982C">
                        <w:pPr>
                          <w:pStyle w:val="23"/>
                        </w:pPr>
                        <w:r>
                          <w:rPr>
                            <w:rFonts w:hint="eastAsia"/>
                          </w:rPr>
                          <w:t>4.0回用于生产</w:t>
                        </w:r>
                      </w:p>
                    </w:txbxContent>
                  </v:textbox>
                </v:shape>
                <v:line id="直接连接符 233" o:spid="_x0000_s1026" o:spt="20" style="position:absolute;left:1476375;top:3036570;flip:x;height:1270;width:1628775;" filled="f" stroked="t" coordsize="21600,21600" o:gfxdata="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xgz7tQAAAAFAQAADwAAAAAAAAABACAAAAAiAAAAZHJzL2Rv&#10;d25yZXYueG1sUEsBAhQAFAAAAAgAh07iQK+LQAUFAgAA9QMAAA4AAAAAAAAAAQAgAAAAIwEAAGRy&#10;cy9lMm9Eb2MueG1sUEsFBgAAAAAGAAYAWQEAAJoFAAAAAA==&#10;">
                  <v:fill on="f" focussize="0,0"/>
                  <v:stroke color="#000000" joinstyle="round"/>
                  <v:imagedata o:title=""/>
                  <o:lock v:ext="edit" aspectratio="f"/>
                </v:line>
                <v:line id="直接连接符 235" o:spid="_x0000_s1026" o:spt="20" style="position:absolute;left:3114040;top:2036445;height:1000125;width:635;" filled="f" stroked="t" coordsize="21600,21600" o:gfxdata="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XLjxA1AAAAAUBAAAPAAAAAAAAAAEAIAAAACIAAABkcnMvZG93bnJldi54&#10;bWxQSwECFAAUAAAACACHTuJAg+4mev4BAADqAwAADgAAAAAAAAABACAAAAAjAQAAZHJzL2Uyb0Rv&#10;Yy54bWxQSwUGAAAAAAYABgBZAQAAkwUAAAAA&#10;">
                  <v:fill on="f" focussize="0,0"/>
                  <v:stroke color="#000000" joinstyle="round"/>
                  <v:imagedata o:title=""/>
                  <o:lock v:ext="edit" aspectratio="f"/>
                </v:line>
                <v:shape id="文本框 237" o:spid="_x0000_s1026" o:spt="202" type="#_x0000_t202" style="position:absolute;left:108585;top:2934335;height:476250;width:600075;" filled="f" stroked="f" coordsize="21600,21600" o:gfxdata="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xfV7/dMAAAAFAQAADwAAAAAAAAABACAAAAAiAAAAZHJzL2Rvd25yZXYueG1sUEsBAhQAFAAA&#10;AAgAh07iQJIJiSG7AQAAXAMAAA4AAAAAAAAAAQAgAAAAIgEAAGRycy9lMm9Eb2MueG1sUEsFBgAA&#10;AAAGAAYAWQEAAE8FAAAAAA==&#10;">
                  <v:fill on="f" focussize="0,0"/>
                  <v:stroke on="f"/>
                  <v:imagedata o:title=""/>
                  <o:lock v:ext="edit" aspectratio="f"/>
                  <v:textbox>
                    <w:txbxContent>
                      <w:p w14:paraId="16E1B8F3">
                        <w:pPr>
                          <w:ind w:firstLine="0" w:firstLineChars="0"/>
                          <w:rPr>
                            <w:sz w:val="21"/>
                          </w:rPr>
                        </w:pPr>
                        <w:r>
                          <w:rPr>
                            <w:rFonts w:hint="eastAsia"/>
                            <w:sz w:val="21"/>
                          </w:rPr>
                          <w:t>新鲜水95.8</w:t>
                        </w:r>
                      </w:p>
                    </w:txbxContent>
                  </v:textbox>
                </v:shape>
                <v:line id="直接连接符 239" o:spid="_x0000_s1026" o:spt="20" style="position:absolute;left:2809875;top:2028825;height:635;width:304800;" filled="f" stroked="t" coordsize="21600,21600" o:gfxdata="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y48QNQAAAAFAQAADwAAAAAAAAABACAAAAAiAAAAZHJzL2Rvd25yZXYu&#10;eG1sUEsBAhQAFAAAAAgAh07iQLRbteb/AQAA6QMAAA4AAAAAAAAAAQAgAAAAIwEAAGRycy9lMm9E&#10;b2MueG1sUEsFBgAAAAAGAAYAWQEAAJQFAAAAAA==&#10;">
                  <v:fill on="f" focussize="0,0"/>
                  <v:stroke color="#000000" joinstyle="round"/>
                  <v:imagedata o:title=""/>
                  <o:lock v:ext="edit" aspectratio="f"/>
                </v:line>
                <v:line id="直接连接符 241" o:spid="_x0000_s1026" o:spt="20" style="position:absolute;left:1480185;top:2548255;flip:y;height:495300;width:635;" filled="f" stroked="t" coordsize="21600,21600" o:gfxdata="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wyCnPVAAAABQEAAA8AAAAAAAAAAQAgAAAA&#10;IgAAAGRycy9kb3ducmV2LnhtbFBLAQIUABQAAAAIAIdO4kA4AHAyDgIAAPcDAAAOAAAAAAAAAAEA&#10;IAAAACQBAABkcnMvZTJvRG9jLnhtbFBLBQYAAAAABgAGAFkBAACkBQAAAAA=&#10;">
                  <v:fill on="f" focussize="0,0"/>
                  <v:stroke color="#000000" joinstyle="round" endarrow="block"/>
                  <v:imagedata o:title=""/>
                  <o:lock v:ext="edit" aspectratio="f"/>
                </v:line>
                <w10:wrap type="none"/>
                <w10:anchorlock/>
              </v:group>
            </w:pict>
          </mc:Fallback>
        </mc:AlternateContent>
      </w:r>
      <w:r>
        <w:rPr>
          <w:rStyle w:val="27"/>
          <w:rFonts w:hint="default" w:ascii="Times New Roman" w:hAnsi="Times New Roman" w:cs="Times New Roman"/>
          <w:b/>
          <w:color w:val="auto"/>
        </w:rPr>
        <w:t>图</w:t>
      </w:r>
      <w:r>
        <w:rPr>
          <w:rStyle w:val="27"/>
          <w:rFonts w:hint="default" w:ascii="Times New Roman" w:hAnsi="Times New Roman" w:cs="Times New Roman"/>
          <w:b/>
          <w:color w:val="auto"/>
          <w:lang w:val="en-US" w:eastAsia="zh-CN"/>
        </w:rPr>
        <w:t>3</w:t>
      </w:r>
      <w:r>
        <w:rPr>
          <w:rStyle w:val="27"/>
          <w:rFonts w:hint="default" w:ascii="Times New Roman" w:hAnsi="Times New Roman" w:cs="Times New Roman"/>
          <w:b/>
          <w:color w:val="auto"/>
        </w:rPr>
        <w:t>.</w:t>
      </w:r>
      <w:r>
        <w:rPr>
          <w:rStyle w:val="27"/>
          <w:rFonts w:hint="default" w:ascii="Times New Roman" w:hAnsi="Times New Roman" w:cs="Times New Roman"/>
          <w:b/>
          <w:color w:val="auto"/>
          <w:lang w:val="en-US" w:eastAsia="zh-CN"/>
        </w:rPr>
        <w:t>4</w:t>
      </w:r>
      <w:r>
        <w:rPr>
          <w:rStyle w:val="27"/>
          <w:rFonts w:hint="default" w:ascii="Times New Roman" w:hAnsi="Times New Roman" w:cs="Times New Roman"/>
          <w:b/>
          <w:color w:val="auto"/>
        </w:rPr>
        <w:t xml:space="preserve">-1 </w:t>
      </w:r>
      <w:r>
        <w:rPr>
          <w:rStyle w:val="27"/>
          <w:rFonts w:hint="default" w:ascii="Times New Roman" w:hAnsi="Times New Roman" w:cs="Times New Roman"/>
          <w:b/>
          <w:color w:val="auto"/>
          <w:lang w:eastAsia="zh-CN"/>
        </w:rPr>
        <w:t>改扩建</w:t>
      </w:r>
      <w:r>
        <w:rPr>
          <w:rStyle w:val="27"/>
          <w:rFonts w:hint="default" w:ascii="Times New Roman" w:hAnsi="Times New Roman" w:cs="Times New Roman"/>
          <w:b/>
          <w:color w:val="auto"/>
        </w:rPr>
        <w:t>后全厂</w:t>
      </w:r>
      <w:r>
        <w:rPr>
          <w:rStyle w:val="27"/>
          <w:rFonts w:hint="default" w:ascii="Times New Roman" w:hAnsi="Times New Roman" w:cs="Times New Roman"/>
          <w:b/>
          <w:color w:val="auto"/>
          <w:lang w:val="en-US" w:eastAsia="zh-CN"/>
        </w:rPr>
        <w:t>环评</w:t>
      </w:r>
      <w:r>
        <w:rPr>
          <w:rStyle w:val="27"/>
          <w:rFonts w:hint="default" w:ascii="Times New Roman" w:hAnsi="Times New Roman" w:cs="Times New Roman"/>
          <w:b/>
          <w:color w:val="auto"/>
        </w:rPr>
        <w:t>水平衡图（</w:t>
      </w:r>
      <w:r>
        <w:rPr>
          <w:rStyle w:val="27"/>
          <w:rFonts w:hint="eastAsia" w:cs="Times New Roman"/>
          <w:b/>
          <w:color w:val="auto"/>
          <w:lang w:eastAsia="zh-CN"/>
        </w:rPr>
        <w:t>m³/d</w:t>
      </w:r>
      <w:r>
        <w:rPr>
          <w:rStyle w:val="27"/>
          <w:rFonts w:hint="default" w:ascii="Times New Roman" w:hAnsi="Times New Roman" w:cs="Times New Roman"/>
          <w:b/>
          <w:color w:val="auto"/>
        </w:rPr>
        <w:t>）</w:t>
      </w:r>
    </w:p>
    <w:p w14:paraId="08DAB620">
      <w:pPr>
        <w:pStyle w:val="24"/>
        <w:bidi w:val="0"/>
        <w:rPr>
          <w:rFonts w:hint="default" w:ascii="Times New Roman" w:hAnsi="Times New Roman" w:cs="Times New Roman"/>
          <w:color w:val="auto"/>
        </w:rPr>
      </w:pPr>
      <w:r>
        <w:rPr>
          <w:rFonts w:hint="default" w:ascii="Times New Roman" w:hAnsi="Times New Roman" w:cs="Times New Roman"/>
          <w:color w:val="auto"/>
          <w:kern w:val="1"/>
          <w:szCs w:val="21"/>
          <w:u w:val="none"/>
        </w:rPr>
        <mc:AlternateContent>
          <mc:Choice Requires="wpc">
            <w:drawing>
              <wp:inline distT="0" distB="0" distL="114300" distR="114300">
                <wp:extent cx="5734050" cy="3552825"/>
                <wp:effectExtent l="0" t="0" r="0" b="27305"/>
                <wp:docPr id="3" name="画布 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81" name="文本框 167"/>
                        <wps:cNvSpPr txBox="1"/>
                        <wps:spPr>
                          <a:xfrm>
                            <a:off x="1417320" y="804545"/>
                            <a:ext cx="981075" cy="296545"/>
                          </a:xfrm>
                          <a:prstGeom prst="rect">
                            <a:avLst/>
                          </a:prstGeom>
                          <a:noFill/>
                          <a:ln w="9525" cap="flat" cmpd="sng">
                            <a:solidFill>
                              <a:srgbClr val="000000"/>
                            </a:solidFill>
                            <a:prstDash val="solid"/>
                            <a:miter/>
                            <a:headEnd type="none" w="med" len="med"/>
                            <a:tailEnd type="none" w="med" len="med"/>
                          </a:ln>
                        </wps:spPr>
                        <wps:txbx>
                          <w:txbxContent>
                            <w:p w14:paraId="56C584A0">
                              <w:pPr>
                                <w:pStyle w:val="23"/>
                                <w:bidi w:val="0"/>
                                <w:rPr>
                                  <w:rFonts w:hint="eastAsia"/>
                                </w:rPr>
                              </w:pPr>
                              <w:r>
                                <w:rPr>
                                  <w:rFonts w:hint="eastAsia"/>
                                </w:rPr>
                                <w:t>生活用水</w:t>
                              </w:r>
                            </w:p>
                          </w:txbxContent>
                        </wps:txbx>
                        <wps:bodyPr upright="1"/>
                      </wps:wsp>
                      <wps:wsp>
                        <wps:cNvPr id="96" name="文本框 171"/>
                        <wps:cNvSpPr txBox="1"/>
                        <wps:spPr>
                          <a:xfrm>
                            <a:off x="1400175" y="1343025"/>
                            <a:ext cx="1038225" cy="296545"/>
                          </a:xfrm>
                          <a:prstGeom prst="rect">
                            <a:avLst/>
                          </a:prstGeom>
                          <a:noFill/>
                          <a:ln w="9525" cap="flat" cmpd="sng">
                            <a:solidFill>
                              <a:srgbClr val="000000"/>
                            </a:solidFill>
                            <a:prstDash val="solid"/>
                            <a:miter/>
                            <a:headEnd type="none" w="med" len="med"/>
                            <a:tailEnd type="none" w="med" len="med"/>
                          </a:ln>
                        </wps:spPr>
                        <wps:txbx>
                          <w:txbxContent>
                            <w:p w14:paraId="3141B538">
                              <w:pPr>
                                <w:pStyle w:val="23"/>
                                <w:bidi w:val="0"/>
                                <w:rPr>
                                  <w:rFonts w:hint="eastAsia"/>
                                </w:rPr>
                              </w:pPr>
                              <w:r>
                                <w:rPr>
                                  <w:rFonts w:hint="eastAsia"/>
                                </w:rPr>
                                <w:t>绿化用水</w:t>
                              </w:r>
                            </w:p>
                          </w:txbxContent>
                        </wps:txbx>
                        <wps:bodyPr upright="1"/>
                      </wps:wsp>
                      <wps:wsp>
                        <wps:cNvPr id="98" name="文本框 173"/>
                        <wps:cNvSpPr txBox="1"/>
                        <wps:spPr>
                          <a:xfrm>
                            <a:off x="1390650" y="1880235"/>
                            <a:ext cx="1429385" cy="296545"/>
                          </a:xfrm>
                          <a:prstGeom prst="rect">
                            <a:avLst/>
                          </a:prstGeom>
                          <a:noFill/>
                          <a:ln w="9525" cap="flat" cmpd="sng">
                            <a:solidFill>
                              <a:srgbClr val="000000"/>
                            </a:solidFill>
                            <a:prstDash val="solid"/>
                            <a:miter/>
                            <a:headEnd type="none" w="med" len="med"/>
                            <a:tailEnd type="none" w="med" len="med"/>
                          </a:ln>
                        </wps:spPr>
                        <wps:txbx>
                          <w:txbxContent>
                            <w:p w14:paraId="79332C45">
                              <w:pPr>
                                <w:pStyle w:val="23"/>
                                <w:bidi w:val="0"/>
                                <w:rPr>
                                  <w:rFonts w:hint="eastAsia"/>
                                </w:rPr>
                              </w:pPr>
                              <w:r>
                                <w:rPr>
                                  <w:rFonts w:hint="eastAsia"/>
                                </w:rPr>
                                <w:t>车间、洗车台冲洗水</w:t>
                              </w:r>
                            </w:p>
                          </w:txbxContent>
                        </wps:txbx>
                        <wps:bodyPr upright="1"/>
                      </wps:wsp>
                      <wps:wsp>
                        <wps:cNvPr id="121" name="直接连接符 175"/>
                        <wps:cNvCnPr/>
                        <wps:spPr>
                          <a:xfrm>
                            <a:off x="683895" y="968375"/>
                            <a:ext cx="733425" cy="635"/>
                          </a:xfrm>
                          <a:prstGeom prst="line">
                            <a:avLst/>
                          </a:prstGeom>
                          <a:ln w="9525" cap="flat" cmpd="sng">
                            <a:solidFill>
                              <a:srgbClr val="000000"/>
                            </a:solidFill>
                            <a:prstDash val="solid"/>
                            <a:headEnd type="none" w="med" len="med"/>
                            <a:tailEnd type="triangle" w="med" len="med"/>
                          </a:ln>
                        </wps:spPr>
                        <wps:bodyPr upright="1"/>
                      </wps:wsp>
                      <wps:wsp>
                        <wps:cNvPr id="123" name="直接连接符 179"/>
                        <wps:cNvCnPr/>
                        <wps:spPr>
                          <a:xfrm flipH="1">
                            <a:off x="667385" y="953135"/>
                            <a:ext cx="15240" cy="2621915"/>
                          </a:xfrm>
                          <a:prstGeom prst="line">
                            <a:avLst/>
                          </a:prstGeom>
                          <a:ln w="9525" cap="flat" cmpd="sng">
                            <a:solidFill>
                              <a:srgbClr val="000000"/>
                            </a:solidFill>
                            <a:prstDash val="solid"/>
                            <a:headEnd type="none" w="med" len="med"/>
                            <a:tailEnd type="none" w="med" len="med"/>
                          </a:ln>
                        </wps:spPr>
                        <wps:bodyPr upright="1"/>
                      </wps:wsp>
                      <wps:wsp>
                        <wps:cNvPr id="124" name="直接连接符 181"/>
                        <wps:cNvCnPr/>
                        <wps:spPr>
                          <a:xfrm>
                            <a:off x="666750" y="1493520"/>
                            <a:ext cx="733425" cy="635"/>
                          </a:xfrm>
                          <a:prstGeom prst="line">
                            <a:avLst/>
                          </a:prstGeom>
                          <a:ln w="9525" cap="flat" cmpd="sng">
                            <a:solidFill>
                              <a:srgbClr val="000000"/>
                            </a:solidFill>
                            <a:prstDash val="solid"/>
                            <a:headEnd type="none" w="med" len="med"/>
                            <a:tailEnd type="triangle" w="med" len="med"/>
                          </a:ln>
                        </wps:spPr>
                        <wps:bodyPr upright="1"/>
                      </wps:wsp>
                      <wps:wsp>
                        <wps:cNvPr id="125" name="直接连接符 183"/>
                        <wps:cNvCnPr/>
                        <wps:spPr>
                          <a:xfrm>
                            <a:off x="666750" y="2040255"/>
                            <a:ext cx="733425" cy="635"/>
                          </a:xfrm>
                          <a:prstGeom prst="line">
                            <a:avLst/>
                          </a:prstGeom>
                          <a:ln w="9525" cap="flat" cmpd="sng">
                            <a:solidFill>
                              <a:srgbClr val="000000"/>
                            </a:solidFill>
                            <a:prstDash val="solid"/>
                            <a:headEnd type="none" w="med" len="med"/>
                            <a:tailEnd type="triangle" w="med" len="med"/>
                          </a:ln>
                        </wps:spPr>
                        <wps:bodyPr upright="1"/>
                      </wps:wsp>
                      <wps:wsp>
                        <wps:cNvPr id="126" name="直接连接符 185"/>
                        <wps:cNvCnPr/>
                        <wps:spPr>
                          <a:xfrm>
                            <a:off x="2407920" y="949960"/>
                            <a:ext cx="609600" cy="635"/>
                          </a:xfrm>
                          <a:prstGeom prst="line">
                            <a:avLst/>
                          </a:prstGeom>
                          <a:ln w="9525" cap="flat" cmpd="sng">
                            <a:solidFill>
                              <a:srgbClr val="000000"/>
                            </a:solidFill>
                            <a:prstDash val="solid"/>
                            <a:headEnd type="none" w="med" len="med"/>
                            <a:tailEnd type="triangle" w="med" len="med"/>
                          </a:ln>
                        </wps:spPr>
                        <wps:bodyPr upright="1"/>
                      </wps:wsp>
                      <wps:wsp>
                        <wps:cNvPr id="127" name="文本框 187"/>
                        <wps:cNvSpPr txBox="1"/>
                        <wps:spPr>
                          <a:xfrm>
                            <a:off x="3021965" y="796290"/>
                            <a:ext cx="734060" cy="296545"/>
                          </a:xfrm>
                          <a:prstGeom prst="rect">
                            <a:avLst/>
                          </a:prstGeom>
                          <a:noFill/>
                          <a:ln w="9525" cap="flat" cmpd="sng">
                            <a:solidFill>
                              <a:srgbClr val="000000"/>
                            </a:solidFill>
                            <a:prstDash val="solid"/>
                            <a:miter/>
                            <a:headEnd type="none" w="med" len="med"/>
                            <a:tailEnd type="none" w="med" len="med"/>
                          </a:ln>
                        </wps:spPr>
                        <wps:txbx>
                          <w:txbxContent>
                            <w:p w14:paraId="627E25D6">
                              <w:pPr>
                                <w:pStyle w:val="23"/>
                                <w:bidi w:val="0"/>
                                <w:rPr>
                                  <w:rFonts w:hint="eastAsia"/>
                                </w:rPr>
                              </w:pPr>
                              <w:r>
                                <w:rPr>
                                  <w:rFonts w:hint="eastAsia"/>
                                </w:rPr>
                                <w:t>生活污水</w:t>
                              </w:r>
                            </w:p>
                          </w:txbxContent>
                        </wps:txbx>
                        <wps:bodyPr upright="1"/>
                      </wps:wsp>
                      <wps:wsp>
                        <wps:cNvPr id="128" name="文本框 189"/>
                        <wps:cNvSpPr txBox="1"/>
                        <wps:spPr>
                          <a:xfrm>
                            <a:off x="761365" y="739775"/>
                            <a:ext cx="447675" cy="274320"/>
                          </a:xfrm>
                          <a:prstGeom prst="rect">
                            <a:avLst/>
                          </a:prstGeom>
                          <a:noFill/>
                          <a:ln>
                            <a:noFill/>
                          </a:ln>
                        </wps:spPr>
                        <wps:txbx>
                          <w:txbxContent>
                            <w:p w14:paraId="39844076">
                              <w:pPr>
                                <w:pStyle w:val="23"/>
                                <w:bidi w:val="0"/>
                                <w:rPr>
                                  <w:rFonts w:hint="default" w:eastAsia="宋体"/>
                                  <w:lang w:val="en-US" w:eastAsia="zh-CN"/>
                                </w:rPr>
                              </w:pPr>
                              <w:r>
                                <w:rPr>
                                  <w:rFonts w:hint="eastAsia"/>
                                  <w:lang w:val="en-US" w:eastAsia="zh-CN"/>
                                </w:rPr>
                                <w:t>3.0</w:t>
                              </w:r>
                            </w:p>
                          </w:txbxContent>
                        </wps:txbx>
                        <wps:bodyPr upright="1"/>
                      </wps:wsp>
                      <wps:wsp>
                        <wps:cNvPr id="129" name="文本框 191"/>
                        <wps:cNvSpPr txBox="1"/>
                        <wps:spPr>
                          <a:xfrm>
                            <a:off x="2464435" y="718820"/>
                            <a:ext cx="447675" cy="274320"/>
                          </a:xfrm>
                          <a:prstGeom prst="rect">
                            <a:avLst/>
                          </a:prstGeom>
                          <a:noFill/>
                          <a:ln>
                            <a:noFill/>
                          </a:ln>
                        </wps:spPr>
                        <wps:txbx>
                          <w:txbxContent>
                            <w:p w14:paraId="5A2439D9">
                              <w:pPr>
                                <w:pStyle w:val="23"/>
                                <w:bidi w:val="0"/>
                                <w:rPr>
                                  <w:rFonts w:hint="default" w:eastAsia="宋体"/>
                                  <w:lang w:val="en-US" w:eastAsia="zh-CN"/>
                                </w:rPr>
                              </w:pPr>
                              <w:r>
                                <w:rPr>
                                  <w:rFonts w:hint="eastAsia"/>
                                  <w:lang w:val="en-US" w:eastAsia="zh-CN"/>
                                </w:rPr>
                                <w:t>2.4</w:t>
                              </w:r>
                            </w:p>
                          </w:txbxContent>
                        </wps:txbx>
                        <wps:bodyPr upright="1"/>
                      </wps:wsp>
                      <wps:wsp>
                        <wps:cNvPr id="131" name="文本框 195"/>
                        <wps:cNvSpPr txBox="1"/>
                        <wps:spPr>
                          <a:xfrm>
                            <a:off x="843915" y="1286510"/>
                            <a:ext cx="447675" cy="274320"/>
                          </a:xfrm>
                          <a:prstGeom prst="rect">
                            <a:avLst/>
                          </a:prstGeom>
                          <a:noFill/>
                          <a:ln>
                            <a:noFill/>
                          </a:ln>
                        </wps:spPr>
                        <wps:txbx>
                          <w:txbxContent>
                            <w:p w14:paraId="303E20C0">
                              <w:pPr>
                                <w:ind w:firstLine="0" w:firstLineChars="0"/>
                                <w:rPr>
                                  <w:rFonts w:hint="eastAsia"/>
                                  <w:sz w:val="21"/>
                                  <w:szCs w:val="21"/>
                                </w:rPr>
                              </w:pPr>
                              <w:r>
                                <w:rPr>
                                  <w:rFonts w:hint="eastAsia"/>
                                  <w:sz w:val="21"/>
                                  <w:szCs w:val="21"/>
                                </w:rPr>
                                <w:t>2.0</w:t>
                              </w:r>
                            </w:p>
                          </w:txbxContent>
                        </wps:txbx>
                        <wps:bodyPr upright="1"/>
                      </wps:wsp>
                      <wps:wsp>
                        <wps:cNvPr id="132" name="文本框 197"/>
                        <wps:cNvSpPr txBox="1"/>
                        <wps:spPr>
                          <a:xfrm>
                            <a:off x="791845" y="1815465"/>
                            <a:ext cx="447675" cy="274320"/>
                          </a:xfrm>
                          <a:prstGeom prst="rect">
                            <a:avLst/>
                          </a:prstGeom>
                          <a:noFill/>
                          <a:ln>
                            <a:noFill/>
                          </a:ln>
                        </wps:spPr>
                        <wps:txbx>
                          <w:txbxContent>
                            <w:p w14:paraId="794EE6C2">
                              <w:pPr>
                                <w:pStyle w:val="23"/>
                                <w:bidi w:val="0"/>
                                <w:rPr>
                                  <w:rFonts w:hint="default" w:eastAsia="宋体"/>
                                  <w:lang w:val="en-US" w:eastAsia="zh-CN"/>
                                </w:rPr>
                              </w:pPr>
                              <w:r>
                                <w:rPr>
                                  <w:rFonts w:hint="eastAsia"/>
                                  <w:lang w:val="en-US" w:eastAsia="zh-CN"/>
                                </w:rPr>
                                <w:t>5.0</w:t>
                              </w:r>
                            </w:p>
                          </w:txbxContent>
                        </wps:txbx>
                        <wps:bodyPr upright="1"/>
                      </wps:wsp>
                      <wps:wsp>
                        <wps:cNvPr id="133" name="文本框 199"/>
                        <wps:cNvSpPr txBox="1"/>
                        <wps:spPr>
                          <a:xfrm>
                            <a:off x="4169410" y="668020"/>
                            <a:ext cx="1217295" cy="478790"/>
                          </a:xfrm>
                          <a:prstGeom prst="rect">
                            <a:avLst/>
                          </a:prstGeom>
                          <a:noFill/>
                          <a:ln>
                            <a:noFill/>
                          </a:ln>
                        </wps:spPr>
                        <wps:txbx>
                          <w:txbxContent>
                            <w:p w14:paraId="27F49594">
                              <w:pPr>
                                <w:pStyle w:val="23"/>
                                <w:bidi w:val="0"/>
                                <w:rPr>
                                  <w:rFonts w:hint="eastAsia"/>
                                </w:rPr>
                              </w:pPr>
                              <w:r>
                                <w:rPr>
                                  <w:rFonts w:hint="eastAsia"/>
                                </w:rPr>
                                <w:t>纳入福州市洋里污水处理厂</w:t>
                              </w:r>
                            </w:p>
                          </w:txbxContent>
                        </wps:txbx>
                        <wps:bodyPr upright="1"/>
                      </wps:wsp>
                      <wps:wsp>
                        <wps:cNvPr id="134" name="直接连接符 201"/>
                        <wps:cNvCnPr/>
                        <wps:spPr>
                          <a:xfrm flipV="1">
                            <a:off x="1609725" y="598170"/>
                            <a:ext cx="209550" cy="137160"/>
                          </a:xfrm>
                          <a:prstGeom prst="line">
                            <a:avLst/>
                          </a:prstGeom>
                          <a:ln w="9525" cap="flat" cmpd="sng">
                            <a:solidFill>
                              <a:srgbClr val="000000"/>
                            </a:solidFill>
                            <a:prstDash val="dash"/>
                            <a:headEnd type="none" w="med" len="med"/>
                            <a:tailEnd type="triangle" w="med" len="med"/>
                          </a:ln>
                        </wps:spPr>
                        <wps:bodyPr upright="1"/>
                      </wps:wsp>
                      <wps:wsp>
                        <wps:cNvPr id="135" name="文本框 203"/>
                        <wps:cNvSpPr txBox="1"/>
                        <wps:spPr>
                          <a:xfrm>
                            <a:off x="1717675" y="445770"/>
                            <a:ext cx="733425" cy="274320"/>
                          </a:xfrm>
                          <a:prstGeom prst="rect">
                            <a:avLst/>
                          </a:prstGeom>
                          <a:noFill/>
                          <a:ln>
                            <a:noFill/>
                          </a:ln>
                        </wps:spPr>
                        <wps:txbx>
                          <w:txbxContent>
                            <w:p w14:paraId="1E390159">
                              <w:pPr>
                                <w:pStyle w:val="23"/>
                                <w:bidi w:val="0"/>
                                <w:rPr>
                                  <w:rFonts w:hint="eastAsia" w:eastAsia="宋体"/>
                                  <w:lang w:eastAsia="zh-CN"/>
                                </w:rPr>
                              </w:pPr>
                              <w:r>
                                <w:rPr>
                                  <w:rFonts w:hint="eastAsia"/>
                                </w:rPr>
                                <w:t>损耗0.</w:t>
                              </w:r>
                              <w:r>
                                <w:rPr>
                                  <w:rFonts w:hint="eastAsia"/>
                                  <w:lang w:val="en-US" w:eastAsia="zh-CN"/>
                                </w:rPr>
                                <w:t>6</w:t>
                              </w:r>
                            </w:p>
                          </w:txbxContent>
                        </wps:txbx>
                        <wps:bodyPr upright="1"/>
                      </wps:wsp>
                      <wps:wsp>
                        <wps:cNvPr id="143" name="直接连接符 209"/>
                        <wps:cNvCnPr/>
                        <wps:spPr>
                          <a:xfrm flipV="1">
                            <a:off x="1524000" y="1202055"/>
                            <a:ext cx="209550" cy="137160"/>
                          </a:xfrm>
                          <a:prstGeom prst="line">
                            <a:avLst/>
                          </a:prstGeom>
                          <a:ln w="9525" cap="flat" cmpd="sng">
                            <a:solidFill>
                              <a:srgbClr val="000000"/>
                            </a:solidFill>
                            <a:prstDash val="dash"/>
                            <a:headEnd type="none" w="med" len="med"/>
                            <a:tailEnd type="triangle" w="med" len="med"/>
                          </a:ln>
                        </wps:spPr>
                        <wps:bodyPr upright="1"/>
                      </wps:wsp>
                      <wps:wsp>
                        <wps:cNvPr id="144" name="文本框 211"/>
                        <wps:cNvSpPr txBox="1"/>
                        <wps:spPr>
                          <a:xfrm>
                            <a:off x="1657350" y="1093470"/>
                            <a:ext cx="733425" cy="274320"/>
                          </a:xfrm>
                          <a:prstGeom prst="rect">
                            <a:avLst/>
                          </a:prstGeom>
                          <a:noFill/>
                          <a:ln>
                            <a:noFill/>
                          </a:ln>
                        </wps:spPr>
                        <wps:txbx>
                          <w:txbxContent>
                            <w:p w14:paraId="70EF1D4A">
                              <w:pPr>
                                <w:ind w:firstLine="0" w:firstLineChars="0"/>
                                <w:rPr>
                                  <w:rFonts w:hint="eastAsia"/>
                                  <w:sz w:val="21"/>
                                  <w:szCs w:val="21"/>
                                </w:rPr>
                              </w:pPr>
                              <w:r>
                                <w:rPr>
                                  <w:rFonts w:hint="eastAsia"/>
                                  <w:sz w:val="21"/>
                                  <w:szCs w:val="21"/>
                                </w:rPr>
                                <w:t>损耗2.0</w:t>
                              </w:r>
                            </w:p>
                          </w:txbxContent>
                        </wps:txbx>
                        <wps:bodyPr upright="1"/>
                      </wps:wsp>
                      <wps:wsp>
                        <wps:cNvPr id="145" name="直接连接符 213"/>
                        <wps:cNvCnPr/>
                        <wps:spPr>
                          <a:xfrm flipV="1">
                            <a:off x="1514475" y="1739265"/>
                            <a:ext cx="209550" cy="137160"/>
                          </a:xfrm>
                          <a:prstGeom prst="line">
                            <a:avLst/>
                          </a:prstGeom>
                          <a:ln w="9525" cap="flat" cmpd="sng">
                            <a:solidFill>
                              <a:srgbClr val="000000"/>
                            </a:solidFill>
                            <a:prstDash val="dash"/>
                            <a:headEnd type="none" w="med" len="med"/>
                            <a:tailEnd type="triangle" w="med" len="med"/>
                          </a:ln>
                        </wps:spPr>
                        <wps:bodyPr upright="1"/>
                      </wps:wsp>
                      <wps:wsp>
                        <wps:cNvPr id="146" name="文本框 215"/>
                        <wps:cNvSpPr txBox="1"/>
                        <wps:spPr>
                          <a:xfrm>
                            <a:off x="1647825" y="1621155"/>
                            <a:ext cx="733425" cy="274320"/>
                          </a:xfrm>
                          <a:prstGeom prst="rect">
                            <a:avLst/>
                          </a:prstGeom>
                          <a:noFill/>
                          <a:ln>
                            <a:noFill/>
                          </a:ln>
                        </wps:spPr>
                        <wps:txbx>
                          <w:txbxContent>
                            <w:p w14:paraId="1DDC7755">
                              <w:pPr>
                                <w:ind w:firstLine="0" w:firstLineChars="0"/>
                                <w:rPr>
                                  <w:rFonts w:hint="default" w:eastAsia="宋体"/>
                                  <w:sz w:val="21"/>
                                  <w:szCs w:val="21"/>
                                  <w:lang w:val="en-US" w:eastAsia="zh-CN"/>
                                </w:rPr>
                              </w:pPr>
                              <w:r>
                                <w:rPr>
                                  <w:rFonts w:hint="eastAsia"/>
                                  <w:sz w:val="21"/>
                                  <w:szCs w:val="21"/>
                                </w:rPr>
                                <w:t>损耗</w:t>
                              </w:r>
                              <w:r>
                                <w:rPr>
                                  <w:rFonts w:hint="eastAsia"/>
                                  <w:sz w:val="21"/>
                                  <w:szCs w:val="21"/>
                                  <w:lang w:val="en-US" w:eastAsia="zh-CN"/>
                                </w:rPr>
                                <w:t>1.0</w:t>
                              </w:r>
                            </w:p>
                          </w:txbxContent>
                        </wps:txbx>
                        <wps:bodyPr upright="1"/>
                      </wps:wsp>
                      <wps:wsp>
                        <wps:cNvPr id="147" name="直接连接符 217"/>
                        <wps:cNvCnPr/>
                        <wps:spPr>
                          <a:xfrm>
                            <a:off x="3756025" y="936625"/>
                            <a:ext cx="542925" cy="635"/>
                          </a:xfrm>
                          <a:prstGeom prst="line">
                            <a:avLst/>
                          </a:prstGeom>
                          <a:ln w="9525" cap="flat" cmpd="sng">
                            <a:solidFill>
                              <a:srgbClr val="000000"/>
                            </a:solidFill>
                            <a:prstDash val="solid"/>
                            <a:headEnd type="none" w="med" len="med"/>
                            <a:tailEnd type="triangle" w="med" len="med"/>
                          </a:ln>
                        </wps:spPr>
                        <wps:bodyPr upright="1"/>
                      </wps:wsp>
                      <wps:wsp>
                        <wps:cNvPr id="148" name="文本框 219"/>
                        <wps:cNvSpPr txBox="1"/>
                        <wps:spPr>
                          <a:xfrm>
                            <a:off x="3781425" y="710565"/>
                            <a:ext cx="484505" cy="274320"/>
                          </a:xfrm>
                          <a:prstGeom prst="rect">
                            <a:avLst/>
                          </a:prstGeom>
                          <a:noFill/>
                          <a:ln>
                            <a:noFill/>
                          </a:ln>
                        </wps:spPr>
                        <wps:txbx>
                          <w:txbxContent>
                            <w:p w14:paraId="5C707B2B">
                              <w:pPr>
                                <w:pStyle w:val="23"/>
                                <w:bidi w:val="0"/>
                                <w:rPr>
                                  <w:rFonts w:hint="default" w:eastAsia="宋体"/>
                                  <w:lang w:val="en-US" w:eastAsia="zh-CN"/>
                                </w:rPr>
                              </w:pPr>
                              <w:r>
                                <w:rPr>
                                  <w:rFonts w:hint="eastAsia"/>
                                  <w:lang w:val="en-US" w:eastAsia="zh-CN"/>
                                </w:rPr>
                                <w:t>2.4</w:t>
                              </w:r>
                            </w:p>
                          </w:txbxContent>
                        </wps:txbx>
                        <wps:bodyPr upright="1"/>
                      </wps:wsp>
                      <wps:wsp>
                        <wps:cNvPr id="149" name="文本框 221"/>
                        <wps:cNvSpPr txBox="1"/>
                        <wps:spPr>
                          <a:xfrm>
                            <a:off x="1685925" y="2419985"/>
                            <a:ext cx="1047750" cy="296545"/>
                          </a:xfrm>
                          <a:prstGeom prst="rect">
                            <a:avLst/>
                          </a:prstGeom>
                          <a:noFill/>
                          <a:ln w="9525" cap="flat" cmpd="sng">
                            <a:solidFill>
                              <a:srgbClr val="000000"/>
                            </a:solidFill>
                            <a:prstDash val="solid"/>
                            <a:miter/>
                            <a:headEnd type="none" w="med" len="med"/>
                            <a:tailEnd type="none" w="med" len="med"/>
                          </a:ln>
                        </wps:spPr>
                        <wps:txbx>
                          <w:txbxContent>
                            <w:p w14:paraId="7B5FD33E">
                              <w:pPr>
                                <w:ind w:firstLine="0" w:firstLineChars="0"/>
                                <w:jc w:val="center"/>
                                <w:rPr>
                                  <w:rFonts w:hint="eastAsia"/>
                                  <w:sz w:val="21"/>
                                  <w:szCs w:val="21"/>
                                </w:rPr>
                              </w:pPr>
                              <w:r>
                                <w:rPr>
                                  <w:rFonts w:hint="eastAsia"/>
                                  <w:sz w:val="21"/>
                                  <w:szCs w:val="21"/>
                                </w:rPr>
                                <w:t>工艺用水</w:t>
                              </w:r>
                            </w:p>
                          </w:txbxContent>
                        </wps:txbx>
                        <wps:bodyPr upright="1"/>
                      </wps:wsp>
                      <wps:wsp>
                        <wps:cNvPr id="150" name="直接连接符 223"/>
                        <wps:cNvCnPr/>
                        <wps:spPr>
                          <a:xfrm>
                            <a:off x="676275" y="2541270"/>
                            <a:ext cx="1009650" cy="635"/>
                          </a:xfrm>
                          <a:prstGeom prst="line">
                            <a:avLst/>
                          </a:prstGeom>
                          <a:ln w="9525" cap="flat" cmpd="sng">
                            <a:solidFill>
                              <a:srgbClr val="000000"/>
                            </a:solidFill>
                            <a:prstDash val="solid"/>
                            <a:headEnd type="none" w="med" len="med"/>
                            <a:tailEnd type="triangle" w="med" len="med"/>
                          </a:ln>
                        </wps:spPr>
                        <wps:bodyPr upright="1"/>
                      </wps:wsp>
                      <wps:wsp>
                        <wps:cNvPr id="151" name="文本框 225"/>
                        <wps:cNvSpPr txBox="1"/>
                        <wps:spPr>
                          <a:xfrm>
                            <a:off x="895985" y="2311400"/>
                            <a:ext cx="466725" cy="274320"/>
                          </a:xfrm>
                          <a:prstGeom prst="rect">
                            <a:avLst/>
                          </a:prstGeom>
                          <a:noFill/>
                          <a:ln>
                            <a:noFill/>
                          </a:ln>
                        </wps:spPr>
                        <wps:txbx>
                          <w:txbxContent>
                            <w:p w14:paraId="0B5A38FB">
                              <w:pPr>
                                <w:pStyle w:val="23"/>
                                <w:bidi w:val="0"/>
                              </w:pPr>
                              <w:r>
                                <w:rPr>
                                  <w:rFonts w:hint="eastAsia"/>
                                  <w:lang w:val="en-US" w:eastAsia="zh-CN"/>
                                </w:rPr>
                                <w:t>60</w:t>
                              </w:r>
                              <w:r>
                                <w:rPr>
                                  <w:rFonts w:hint="eastAsia"/>
                                </w:rPr>
                                <w:t>.0</w:t>
                              </w:r>
                            </w:p>
                          </w:txbxContent>
                        </wps:txbx>
                        <wps:bodyPr upright="1"/>
                      </wps:wsp>
                      <wps:wsp>
                        <wps:cNvPr id="152" name="直接连接符 227"/>
                        <wps:cNvCnPr/>
                        <wps:spPr>
                          <a:xfrm flipV="1">
                            <a:off x="1713865" y="2286000"/>
                            <a:ext cx="209550" cy="137160"/>
                          </a:xfrm>
                          <a:prstGeom prst="line">
                            <a:avLst/>
                          </a:prstGeom>
                          <a:ln w="9525" cap="flat" cmpd="sng">
                            <a:solidFill>
                              <a:srgbClr val="000000"/>
                            </a:solidFill>
                            <a:prstDash val="dash"/>
                            <a:headEnd type="none" w="med" len="med"/>
                            <a:tailEnd type="triangle" w="med" len="med"/>
                          </a:ln>
                        </wps:spPr>
                        <wps:bodyPr upright="1"/>
                      </wps:wsp>
                      <wps:wsp>
                        <wps:cNvPr id="153" name="文本框 229"/>
                        <wps:cNvSpPr txBox="1"/>
                        <wps:spPr>
                          <a:xfrm>
                            <a:off x="1814830" y="2148840"/>
                            <a:ext cx="1466215" cy="274320"/>
                          </a:xfrm>
                          <a:prstGeom prst="rect">
                            <a:avLst/>
                          </a:prstGeom>
                          <a:noFill/>
                          <a:ln>
                            <a:noFill/>
                          </a:ln>
                        </wps:spPr>
                        <wps:txbx>
                          <w:txbxContent>
                            <w:p w14:paraId="7698D2B5">
                              <w:pPr>
                                <w:ind w:firstLine="0" w:firstLineChars="0"/>
                                <w:rPr>
                                  <w:rFonts w:hint="eastAsia"/>
                                  <w:sz w:val="21"/>
                                  <w:szCs w:val="21"/>
                                </w:rPr>
                              </w:pPr>
                              <w:r>
                                <w:rPr>
                                  <w:rFonts w:hint="eastAsia"/>
                                  <w:sz w:val="21"/>
                                  <w:szCs w:val="21"/>
                                </w:rPr>
                                <w:t>进入产品及损耗</w:t>
                              </w:r>
                              <w:r>
                                <w:rPr>
                                  <w:rFonts w:hint="eastAsia"/>
                                  <w:sz w:val="21"/>
                                  <w:szCs w:val="21"/>
                                  <w:lang w:val="en-US" w:eastAsia="zh-CN"/>
                                </w:rPr>
                                <w:t>64</w:t>
                              </w:r>
                              <w:r>
                                <w:rPr>
                                  <w:rFonts w:hint="eastAsia"/>
                                  <w:sz w:val="21"/>
                                  <w:szCs w:val="21"/>
                                </w:rPr>
                                <w:t>.0</w:t>
                              </w:r>
                            </w:p>
                          </w:txbxContent>
                        </wps:txbx>
                        <wps:bodyPr upright="1"/>
                      </wps:wsp>
                      <wps:wsp>
                        <wps:cNvPr id="154" name="文本框 231"/>
                        <wps:cNvSpPr txBox="1"/>
                        <wps:spPr>
                          <a:xfrm>
                            <a:off x="1800225" y="2806065"/>
                            <a:ext cx="1266825" cy="274320"/>
                          </a:xfrm>
                          <a:prstGeom prst="rect">
                            <a:avLst/>
                          </a:prstGeom>
                          <a:noFill/>
                          <a:ln>
                            <a:noFill/>
                          </a:ln>
                        </wps:spPr>
                        <wps:txbx>
                          <w:txbxContent>
                            <w:p w14:paraId="64980C01">
                              <w:pPr>
                                <w:pStyle w:val="23"/>
                                <w:bidi w:val="0"/>
                                <w:rPr>
                                  <w:rFonts w:hint="eastAsia"/>
                                </w:rPr>
                              </w:pPr>
                              <w:r>
                                <w:rPr>
                                  <w:rFonts w:hint="eastAsia"/>
                                  <w:lang w:val="en-US" w:eastAsia="zh-CN"/>
                                </w:rPr>
                                <w:t>4.0</w:t>
                              </w:r>
                              <w:r>
                                <w:rPr>
                                  <w:rFonts w:hint="eastAsia"/>
                                </w:rPr>
                                <w:t>回用于生产</w:t>
                              </w:r>
                            </w:p>
                          </w:txbxContent>
                        </wps:txbx>
                        <wps:bodyPr upright="1"/>
                      </wps:wsp>
                      <wps:wsp>
                        <wps:cNvPr id="155" name="直接连接符 233"/>
                        <wps:cNvCnPr/>
                        <wps:spPr>
                          <a:xfrm flipH="1">
                            <a:off x="1476375" y="3036570"/>
                            <a:ext cx="1628775" cy="1270"/>
                          </a:xfrm>
                          <a:prstGeom prst="line">
                            <a:avLst/>
                          </a:prstGeom>
                          <a:ln w="9525" cap="flat" cmpd="sng">
                            <a:solidFill>
                              <a:srgbClr val="000000"/>
                            </a:solidFill>
                            <a:prstDash val="solid"/>
                            <a:headEnd type="none" w="med" len="med"/>
                            <a:tailEnd type="none" w="med" len="med"/>
                          </a:ln>
                        </wps:spPr>
                        <wps:bodyPr upright="1"/>
                      </wps:wsp>
                      <wps:wsp>
                        <wps:cNvPr id="182" name="直接连接符 235"/>
                        <wps:cNvCnPr/>
                        <wps:spPr>
                          <a:xfrm>
                            <a:off x="3114040" y="2036445"/>
                            <a:ext cx="635" cy="1000125"/>
                          </a:xfrm>
                          <a:prstGeom prst="line">
                            <a:avLst/>
                          </a:prstGeom>
                          <a:ln w="9525" cap="flat" cmpd="sng">
                            <a:solidFill>
                              <a:srgbClr val="000000"/>
                            </a:solidFill>
                            <a:prstDash val="solid"/>
                            <a:headEnd type="none" w="med" len="med"/>
                            <a:tailEnd type="none" w="med" len="med"/>
                          </a:ln>
                        </wps:spPr>
                        <wps:bodyPr upright="1"/>
                      </wps:wsp>
                      <wps:wsp>
                        <wps:cNvPr id="183" name="文本框 237"/>
                        <wps:cNvSpPr txBox="1"/>
                        <wps:spPr>
                          <a:xfrm>
                            <a:off x="108585" y="2934335"/>
                            <a:ext cx="606425" cy="476250"/>
                          </a:xfrm>
                          <a:prstGeom prst="rect">
                            <a:avLst/>
                          </a:prstGeom>
                          <a:noFill/>
                          <a:ln>
                            <a:noFill/>
                          </a:ln>
                        </wps:spPr>
                        <wps:txbx>
                          <w:txbxContent>
                            <w:p w14:paraId="1A151FAB">
                              <w:pPr>
                                <w:ind w:left="0" w:firstLine="0" w:firstLineChars="0"/>
                                <w:rPr>
                                  <w:rFonts w:hint="default" w:eastAsia="宋体"/>
                                  <w:sz w:val="21"/>
                                  <w:szCs w:val="21"/>
                                  <w:lang w:val="en-US" w:eastAsia="zh-CN"/>
                                </w:rPr>
                              </w:pPr>
                              <w:r>
                                <w:rPr>
                                  <w:rFonts w:hint="eastAsia"/>
                                  <w:sz w:val="21"/>
                                  <w:szCs w:val="21"/>
                                </w:rPr>
                                <w:t>新鲜水</w:t>
                              </w:r>
                              <w:r>
                                <w:rPr>
                                  <w:rFonts w:hint="eastAsia"/>
                                  <w:sz w:val="21"/>
                                  <w:szCs w:val="21"/>
                                  <w:lang w:val="en-US" w:eastAsia="zh-CN"/>
                                </w:rPr>
                                <w:t>70.0</w:t>
                              </w:r>
                            </w:p>
                          </w:txbxContent>
                        </wps:txbx>
                        <wps:bodyPr upright="1"/>
                      </wps:wsp>
                      <wps:wsp>
                        <wps:cNvPr id="184" name="直接连接符 239"/>
                        <wps:cNvCnPr/>
                        <wps:spPr>
                          <a:xfrm>
                            <a:off x="2809875" y="2028825"/>
                            <a:ext cx="304800" cy="635"/>
                          </a:xfrm>
                          <a:prstGeom prst="line">
                            <a:avLst/>
                          </a:prstGeom>
                          <a:ln w="9525" cap="flat" cmpd="sng">
                            <a:solidFill>
                              <a:srgbClr val="000000"/>
                            </a:solidFill>
                            <a:prstDash val="solid"/>
                            <a:headEnd type="none" w="med" len="med"/>
                            <a:tailEnd type="none" w="med" len="med"/>
                          </a:ln>
                        </wps:spPr>
                        <wps:bodyPr upright="1"/>
                      </wps:wsp>
                      <wps:wsp>
                        <wps:cNvPr id="185" name="直接连接符 241"/>
                        <wps:cNvCnPr/>
                        <wps:spPr>
                          <a:xfrm flipV="1">
                            <a:off x="1480185" y="2548255"/>
                            <a:ext cx="635" cy="495300"/>
                          </a:xfrm>
                          <a:prstGeom prst="line">
                            <a:avLst/>
                          </a:prstGeom>
                          <a:ln w="9525" cap="flat" cmpd="sng">
                            <a:solidFill>
                              <a:srgbClr val="000000"/>
                            </a:solidFill>
                            <a:prstDash val="solid"/>
                            <a:headEnd type="none" w="med" len="med"/>
                            <a:tailEnd type="triangle" w="med" len="med"/>
                          </a:ln>
                        </wps:spPr>
                        <wps:bodyPr upright="1"/>
                      </wps:wsp>
                    </wpc:wpc>
                  </a:graphicData>
                </a:graphic>
              </wp:inline>
            </w:drawing>
          </mc:Choice>
          <mc:Fallback>
            <w:pict>
              <v:group id="_x0000_s1026" o:spid="_x0000_s1026" o:spt="203" style="height:279.75pt;width:451.5pt;" coordsize="5734050,3552825" editas="canvas" o:gfxdata="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">
                <o:lock v:ext="edit" aspectratio="f"/>
                <v:shape id="_x0000_s1026" o:spid="_x0000_s1026" style="position:absolute;left:0;top:0;height:3552825;width:5734050;" filled="f" stroked="f" coordsize="21600,21600" o:gfxdata="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">
                  <v:fill on="f" focussize="0,0"/>
                  <v:stroke on="f"/>
                  <v:imagedata o:title=""/>
                  <o:lock v:ext="edit" aspectratio="t"/>
                </v:shape>
                <v:shape id="文本框 167" o:spid="_x0000_s1026" o:spt="202" type="#_x0000_t202" style="position:absolute;left:1417320;top:804545;height:296545;width:981075;" filled="f" stroked="t" coordsize="21600,21600" o:gfxdata="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qsnJ00wAAAAUBAAAPAAAAAAAAAAEAIAAA&#10;ACIAAABkcnMvZG93bnJldi54bWxQSwECFAAUAAAACACHTuJAtL08cxECAAAaBAAADgAAAAAAAAAB&#10;ACAAAAAiAQAAZHJzL2Uyb0RvYy54bWxQSwUGAAAAAAYABgBZAQAApQUAAAAA&#10;">
                  <v:fill on="f" focussize="0,0"/>
                  <v:stroke color="#000000" joinstyle="miter"/>
                  <v:imagedata o:title=""/>
                  <o:lock v:ext="edit" aspectratio="f"/>
                  <v:textbox>
                    <w:txbxContent>
                      <w:p w14:paraId="56C584A0">
                        <w:pPr>
                          <w:pStyle w:val="23"/>
                          <w:bidi w:val="0"/>
                          <w:rPr>
                            <w:rFonts w:hint="eastAsia"/>
                          </w:rPr>
                        </w:pPr>
                        <w:r>
                          <w:rPr>
                            <w:rFonts w:hint="eastAsia"/>
                          </w:rPr>
                          <w:t>生活用水</w:t>
                        </w:r>
                      </w:p>
                    </w:txbxContent>
                  </v:textbox>
                </v:shape>
                <v:shape id="文本框 171" o:spid="_x0000_s1026" o:spt="202" type="#_x0000_t202" style="position:absolute;left:1400175;top:1343025;height:296545;width:1038225;" filled="f" stroked="t" coordsize="21600,21600" o:gfxdata="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qsnJ00wAAAAUBAAAPAAAAAAAAAAEAIAAA&#10;ACIAAABkcnMvZG93bnJldi54bWxQSwECFAAUAAAACACHTuJA86ARVBECAAAcBAAADgAAAAAAAAAB&#10;ACAAAAAiAQAAZHJzL2Uyb0RvYy54bWxQSwUGAAAAAAYABgBZAQAApQUAAAAA&#10;">
                  <v:fill on="f" focussize="0,0"/>
                  <v:stroke color="#000000" joinstyle="miter"/>
                  <v:imagedata o:title=""/>
                  <o:lock v:ext="edit" aspectratio="f"/>
                  <v:textbox>
                    <w:txbxContent>
                      <w:p w14:paraId="3141B538">
                        <w:pPr>
                          <w:pStyle w:val="23"/>
                          <w:bidi w:val="0"/>
                          <w:rPr>
                            <w:rFonts w:hint="eastAsia"/>
                          </w:rPr>
                        </w:pPr>
                        <w:r>
                          <w:rPr>
                            <w:rFonts w:hint="eastAsia"/>
                          </w:rPr>
                          <w:t>绿化用水</w:t>
                        </w:r>
                      </w:p>
                    </w:txbxContent>
                  </v:textbox>
                </v:shape>
                <v:shape id="文本框 173" o:spid="_x0000_s1026" o:spt="202" type="#_x0000_t202" style="position:absolute;left:1390650;top:1880235;height:296545;width:1429385;" filled="f" stroked="t" coordsize="21600,21600" o:gfxdata="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qycnTTAAAABQEAAA8AAAAAAAAAAQAg&#10;AAAAIgAAAGRycy9kb3ducmV2LnhtbFBLAQIUABQAAAAIAIdO4kC5TGzFEwIAABwEAAAOAAAAAAAA&#10;AAEAIAAAACIBAABkcnMvZTJvRG9jLnhtbFBLBQYAAAAABgAGAFkBAACnBQAAAAA=&#10;">
                  <v:fill on="f" focussize="0,0"/>
                  <v:stroke color="#000000" joinstyle="miter"/>
                  <v:imagedata o:title=""/>
                  <o:lock v:ext="edit" aspectratio="f"/>
                  <v:textbox>
                    <w:txbxContent>
                      <w:p w14:paraId="79332C45">
                        <w:pPr>
                          <w:pStyle w:val="23"/>
                          <w:bidi w:val="0"/>
                          <w:rPr>
                            <w:rFonts w:hint="eastAsia"/>
                          </w:rPr>
                        </w:pPr>
                        <w:r>
                          <w:rPr>
                            <w:rFonts w:hint="eastAsia"/>
                          </w:rPr>
                          <w:t>车间、洗车台冲洗水</w:t>
                        </w:r>
                      </w:p>
                    </w:txbxContent>
                  </v:textbox>
                </v:shape>
                <v:line id="直接连接符 175" o:spid="_x0000_s1026" o:spt="20" style="position:absolute;left:683895;top:968375;height:635;width:733425;" filled="f" stroked="t" coordsize="21600,21600" o:gfxdata="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jn8C2tcAAAAFAQAADwAAAAAAAAABACAAAAAi&#10;AAAAZHJzL2Rvd25yZXYueG1sUEsBAhQAFAAAAAgAh07iQDthxIgLAgAA9wMAAA4AAAAAAAAAAQAg&#10;AAAAJgEAAGRycy9lMm9Eb2MueG1sUEsFBgAAAAAGAAYAWQEAAKMFAAAAAA==&#10;">
                  <v:fill on="f" focussize="0,0"/>
                  <v:stroke color="#000000" joinstyle="round" endarrow="block"/>
                  <v:imagedata o:title=""/>
                  <o:lock v:ext="edit" aspectratio="f"/>
                </v:line>
                <v:line id="直接连接符 179" o:spid="_x0000_s1026" o:spt="20" style="position:absolute;left:667385;top:953135;flip:x;height:2621915;width:15240;" filled="f" stroked="t" coordsize="21600,21600" o:gfxdata="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xPa4U1AAAAAUBAAAPAAAAAAAAAAEAIAAA&#10;ACIAAABkcnMvZG93bnJldi54bWxQSwECFAAUAAAACACHTuJAlCtyChACAAAABAAADgAAAAAAAAAB&#10;ACAAAAAjAQAAZHJzL2Uyb0RvYy54bWxQSwUGAAAAAAYABgBZAQAApQUAAAAA&#10;">
                  <v:fill on="f" focussize="0,0"/>
                  <v:stroke color="#000000" joinstyle="round"/>
                  <v:imagedata o:title=""/>
                  <o:lock v:ext="edit" aspectratio="f"/>
                </v:line>
                <v:line id="直接连接符 181" o:spid="_x0000_s1026" o:spt="20" style="position:absolute;left:666750;top:1493520;height:635;width:733425;" filled="f" stroked="t" coordsize="21600,21600" o:gfxdata="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5/AtrXAAAABQEAAA8AAAAAAAAAAQAgAAAAIgAA&#10;AGRycy9kb3ducmV2LnhtbFBLAQIUABQAAAAIAIdO4kClyV1KCQIAAPgDAAAOAAAAAAAAAAEAIAAA&#10;ACYBAABkcnMvZTJvRG9jLnhtbFBLBQYAAAAABgAGAFkBAAChBQAAAAA=&#10;">
                  <v:fill on="f" focussize="0,0"/>
                  <v:stroke color="#000000" joinstyle="round" endarrow="block"/>
                  <v:imagedata o:title=""/>
                  <o:lock v:ext="edit" aspectratio="f"/>
                </v:line>
                <v:line id="直接连接符 183" o:spid="_x0000_s1026" o:spt="20" style="position:absolute;left:666750;top:2040255;height:635;width:733425;" filled="f" stroked="t" coordsize="21600,21600" o:gfxdata="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OfwLa1wAAAAUBAAAPAAAAAAAAAAEAIAAA&#10;ACIAAABkcnMvZG93bnJldi54bWxQSwECFAAUAAAACACHTuJAPYtcKg0CAAD4AwAADgAAAAAAAAAB&#10;ACAAAAAmAQAAZHJzL2Uyb0RvYy54bWxQSwUGAAAAAAYABgBZAQAApQUAAAAA&#10;">
                  <v:fill on="f" focussize="0,0"/>
                  <v:stroke color="#000000" joinstyle="round" endarrow="block"/>
                  <v:imagedata o:title=""/>
                  <o:lock v:ext="edit" aspectratio="f"/>
                </v:line>
                <v:line id="直接连接符 185" o:spid="_x0000_s1026" o:spt="20" style="position:absolute;left:2407920;top:949960;height:635;width:609600;" filled="f" stroked="t" coordsize="21600,21600" o:gfxdata="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5/AtrXAAAABQEAAA8AAAAAAAAAAQAgAAAA&#10;IgAAAGRycy9kb3ducmV2LnhtbFBLAQIUABQAAAAIAIdO4kBlJLyvDAIAAPgDAAAOAAAAAAAAAAEA&#10;IAAAACYBAABkcnMvZTJvRG9jLnhtbFBLBQYAAAAABgAGAFkBAACkBQAAAAA=&#10;">
                  <v:fill on="f" focussize="0,0"/>
                  <v:stroke color="#000000" joinstyle="round" endarrow="block"/>
                  <v:imagedata o:title=""/>
                  <o:lock v:ext="edit" aspectratio="f"/>
                </v:line>
                <v:shape id="文本框 187" o:spid="_x0000_s1026" o:spt="202" type="#_x0000_t202" style="position:absolute;left:3021965;top:796290;height:296545;width:734060;" filled="f" stroked="t" coordsize="21600,21600" o:gfxdata="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rJydNMAAAAFAQAADwAAAAAAAAABACAA&#10;AAAiAAAAZHJzL2Rvd25yZXYueG1sUEsBAhQAFAAAAAgAh07iQBebCusSAgAAGwQAAA4AAAAAAAAA&#10;AQAgAAAAIgEAAGRycy9lMm9Eb2MueG1sUEsFBgAAAAAGAAYAWQEAAKYFAAAAAA==&#10;">
                  <v:fill on="f" focussize="0,0"/>
                  <v:stroke color="#000000" joinstyle="miter"/>
                  <v:imagedata o:title=""/>
                  <o:lock v:ext="edit" aspectratio="f"/>
                  <v:textbox>
                    <w:txbxContent>
                      <w:p w14:paraId="627E25D6">
                        <w:pPr>
                          <w:pStyle w:val="23"/>
                          <w:bidi w:val="0"/>
                          <w:rPr>
                            <w:rFonts w:hint="eastAsia"/>
                          </w:rPr>
                        </w:pPr>
                        <w:r>
                          <w:rPr>
                            <w:rFonts w:hint="eastAsia"/>
                          </w:rPr>
                          <w:t>生活污水</w:t>
                        </w:r>
                      </w:p>
                    </w:txbxContent>
                  </v:textbox>
                </v:shape>
                <v:shape id="文本框 189" o:spid="_x0000_s1026" o:spt="202" type="#_x0000_t202" style="position:absolute;left:761365;top:739775;height:274320;width:44767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Q5gfSAAAABQEAAA8AAAAAAAAAAQAgAAAAIgAAAGRycy9kb3ducmV2LnhtbFBLAQIUABQAAAAI&#10;AIdO4kAeZrc7ugEAAFsDAAAOAAAAAAAAAAEAIAAAACEBAABkcnMvZTJvRG9jLnhtbFBLBQYAAAAA&#10;BgAGAFkBAABNBQAAAAA=&#10;">
                  <v:fill on="f" focussize="0,0"/>
                  <v:stroke on="f"/>
                  <v:imagedata o:title=""/>
                  <o:lock v:ext="edit" aspectratio="f"/>
                  <v:textbox>
                    <w:txbxContent>
                      <w:p w14:paraId="39844076">
                        <w:pPr>
                          <w:pStyle w:val="23"/>
                          <w:bidi w:val="0"/>
                          <w:rPr>
                            <w:rFonts w:hint="default" w:eastAsia="宋体"/>
                            <w:lang w:val="en-US" w:eastAsia="zh-CN"/>
                          </w:rPr>
                        </w:pPr>
                        <w:r>
                          <w:rPr>
                            <w:rFonts w:hint="eastAsia"/>
                            <w:lang w:val="en-US" w:eastAsia="zh-CN"/>
                          </w:rPr>
                          <w:t>3.0</w:t>
                        </w:r>
                      </w:p>
                    </w:txbxContent>
                  </v:textbox>
                </v:shape>
                <v:shape id="文本框 191" o:spid="_x0000_s1026" o:spt="202" type="#_x0000_t202" style="position:absolute;left:2464435;top:718820;height:274320;width:44767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Q5gfSAAAABQEAAA8AAAAAAAAAAQAgAAAAIgAAAGRycy9kb3ducmV2LnhtbFBLAQIUABQAAAAI&#10;AIdO4kBd6oY3ugEAAFwDAAAOAAAAAAAAAAEAIAAAACEBAABkcnMvZTJvRG9jLnhtbFBLBQYAAAAA&#10;BgAGAFkBAABNBQAAAAA=&#10;">
                  <v:fill on="f" focussize="0,0"/>
                  <v:stroke on="f"/>
                  <v:imagedata o:title=""/>
                  <o:lock v:ext="edit" aspectratio="f"/>
                  <v:textbox>
                    <w:txbxContent>
                      <w:p w14:paraId="5A2439D9">
                        <w:pPr>
                          <w:pStyle w:val="23"/>
                          <w:bidi w:val="0"/>
                          <w:rPr>
                            <w:rFonts w:hint="default" w:eastAsia="宋体"/>
                            <w:lang w:val="en-US" w:eastAsia="zh-CN"/>
                          </w:rPr>
                        </w:pPr>
                        <w:r>
                          <w:rPr>
                            <w:rFonts w:hint="eastAsia"/>
                            <w:lang w:val="en-US" w:eastAsia="zh-CN"/>
                          </w:rPr>
                          <w:t>2.4</w:t>
                        </w:r>
                      </w:p>
                    </w:txbxContent>
                  </v:textbox>
                </v:shape>
                <v:shape id="文本框 195" o:spid="_x0000_s1026" o:spt="202" type="#_x0000_t202" style="position:absolute;left:843915;top:1286510;height:274320;width:44767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79DmB9IAAAAFAQAADwAAAAAAAAABACAAAAAiAAAAZHJzL2Rvd25yZXYueG1sUEsBAhQAFAAAAAgA&#10;h07iQBvHdoa5AQAAXAMAAA4AAAAAAAAAAQAgAAAAIQEAAGRycy9lMm9Eb2MueG1sUEsFBgAAAAAG&#10;AAYAWQEAAEwFAAAAAA==&#10;">
                  <v:fill on="f" focussize="0,0"/>
                  <v:stroke on="f"/>
                  <v:imagedata o:title=""/>
                  <o:lock v:ext="edit" aspectratio="f"/>
                  <v:textbox>
                    <w:txbxContent>
                      <w:p w14:paraId="303E20C0">
                        <w:pPr>
                          <w:ind w:firstLine="0" w:firstLineChars="0"/>
                          <w:rPr>
                            <w:rFonts w:hint="eastAsia"/>
                            <w:sz w:val="21"/>
                            <w:szCs w:val="21"/>
                          </w:rPr>
                        </w:pPr>
                        <w:r>
                          <w:rPr>
                            <w:rFonts w:hint="eastAsia"/>
                            <w:sz w:val="21"/>
                            <w:szCs w:val="21"/>
                          </w:rPr>
                          <w:t>2.0</w:t>
                        </w:r>
                      </w:p>
                    </w:txbxContent>
                  </v:textbox>
                </v:shape>
                <v:shape id="文本框 197" o:spid="_x0000_s1026" o:spt="202" type="#_x0000_t202" style="position:absolute;left:791845;top:1815465;height:274320;width:44767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v0OYH0gAAAAUBAAAPAAAAAAAAAAEAIAAAACIAAABkcnMvZG93bnJldi54bWxQSwECFAAUAAAA&#10;CACHTuJAosyM3bsBAABcAwAADgAAAAAAAAABACAAAAAhAQAAZHJzL2Uyb0RvYy54bWxQSwUGAAAA&#10;AAYABgBZAQAATgUAAAAA&#10;">
                  <v:fill on="f" focussize="0,0"/>
                  <v:stroke on="f"/>
                  <v:imagedata o:title=""/>
                  <o:lock v:ext="edit" aspectratio="f"/>
                  <v:textbox>
                    <w:txbxContent>
                      <w:p w14:paraId="794EE6C2">
                        <w:pPr>
                          <w:pStyle w:val="23"/>
                          <w:bidi w:val="0"/>
                          <w:rPr>
                            <w:rFonts w:hint="default" w:eastAsia="宋体"/>
                            <w:lang w:val="en-US" w:eastAsia="zh-CN"/>
                          </w:rPr>
                        </w:pPr>
                        <w:r>
                          <w:rPr>
                            <w:rFonts w:hint="eastAsia"/>
                            <w:lang w:val="en-US" w:eastAsia="zh-CN"/>
                          </w:rPr>
                          <w:t>5.0</w:t>
                        </w:r>
                      </w:p>
                    </w:txbxContent>
                  </v:textbox>
                </v:shape>
                <v:shape id="文本框 199" o:spid="_x0000_s1026" o:spt="202" type="#_x0000_t202" style="position:absolute;left:4169410;top:668020;height:478790;width:121729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v0OYH0gAAAAUBAAAPAAAAAAAAAAEAIAAAACIAAABkcnMvZG93bnJldi54bWxQSwECFAAUAAAA&#10;CACHTuJAI/heLbsBAABdAwAADgAAAAAAAAABACAAAAAhAQAAZHJzL2Uyb0RvYy54bWxQSwUGAAAA&#10;AAYABgBZAQAATgUAAAAA&#10;">
                  <v:fill on="f" focussize="0,0"/>
                  <v:stroke on="f"/>
                  <v:imagedata o:title=""/>
                  <o:lock v:ext="edit" aspectratio="f"/>
                  <v:textbox>
                    <w:txbxContent>
                      <w:p w14:paraId="27F49594">
                        <w:pPr>
                          <w:pStyle w:val="23"/>
                          <w:bidi w:val="0"/>
                          <w:rPr>
                            <w:rFonts w:hint="eastAsia"/>
                          </w:rPr>
                        </w:pPr>
                        <w:r>
                          <w:rPr>
                            <w:rFonts w:hint="eastAsia"/>
                          </w:rPr>
                          <w:t>纳入福州市洋里污水处理厂</w:t>
                        </w:r>
                      </w:p>
                    </w:txbxContent>
                  </v:textbox>
                </v:shape>
                <v:line id="直接连接符 201" o:spid="_x0000_s1026" o:spt="20" style="position:absolute;left:1609725;top:598170;flip:y;height:137160;width:209550;" filled="f" stroked="t" coordsize="21600,21600" o:gfxdata="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fFNgzTAAAABQEAAA8AAAAAAAAAAQAg&#10;AAAAIgAAAGRycy9kb3ducmV2LnhtbFBLAQIUABQAAAAIAIdO4kDOBoieEwIAAAQEAAAOAAAAAAAA&#10;AAEAIAAAACIBAABkcnMvZTJvRG9jLnhtbFBLBQYAAAAABgAGAFkBAACnBQAAAAA=&#10;">
                  <v:fill on="f" focussize="0,0"/>
                  <v:stroke color="#000000" joinstyle="round" dashstyle="dash" endarrow="block"/>
                  <v:imagedata o:title=""/>
                  <o:lock v:ext="edit" aspectratio="f"/>
                </v:line>
                <v:shape id="文本框 203" o:spid="_x0000_s1026" o:spt="202" type="#_x0000_t202" style="position:absolute;left:1717675;top:445770;height:274320;width:73342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v&#10;0OYH0gAAAAUBAAAPAAAAAAAAAAEAIAAAACIAAABkcnMvZG93bnJldi54bWxQSwECFAAUAAAACACH&#10;TuJAUABMKLgBAABcAwAADgAAAAAAAAABACAAAAAhAQAAZHJzL2Uyb0RvYy54bWxQSwUGAAAAAAYA&#10;BgBZAQAASwUAAAAA&#10;">
                  <v:fill on="f" focussize="0,0"/>
                  <v:stroke on="f"/>
                  <v:imagedata o:title=""/>
                  <o:lock v:ext="edit" aspectratio="f"/>
                  <v:textbox>
                    <w:txbxContent>
                      <w:p w14:paraId="1E390159">
                        <w:pPr>
                          <w:pStyle w:val="23"/>
                          <w:bidi w:val="0"/>
                          <w:rPr>
                            <w:rFonts w:hint="eastAsia" w:eastAsia="宋体"/>
                            <w:lang w:eastAsia="zh-CN"/>
                          </w:rPr>
                        </w:pPr>
                        <w:r>
                          <w:rPr>
                            <w:rFonts w:hint="eastAsia"/>
                          </w:rPr>
                          <w:t>损耗0.</w:t>
                        </w:r>
                        <w:r>
                          <w:rPr>
                            <w:rFonts w:hint="eastAsia"/>
                            <w:lang w:val="en-US" w:eastAsia="zh-CN"/>
                          </w:rPr>
                          <w:t>6</w:t>
                        </w:r>
                      </w:p>
                    </w:txbxContent>
                  </v:textbox>
                </v:shape>
                <v:line id="直接连接符 209" o:spid="_x0000_s1026" o:spt="20" style="position:absolute;left:1524000;top:1202055;flip:y;height:137160;width:209550;" filled="f" stroked="t" coordsize="21600,21600" o:gfxdata="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fFNgzTAAAABQEAAA8AAAAAAAAA&#10;AQAgAAAAIgAAAGRycy9kb3ducmV2LnhtbFBLAQIUABQAAAAIAIdO4kDl6pi/FgIAAAUEAAAOAAAA&#10;AAAAAAEAIAAAACIBAABkcnMvZTJvRG9jLnhtbFBLBQYAAAAABgAGAFkBAACqBQAAAAA=&#10;">
                  <v:fill on="f" focussize="0,0"/>
                  <v:stroke color="#000000" joinstyle="round" dashstyle="dash" endarrow="block"/>
                  <v:imagedata o:title=""/>
                  <o:lock v:ext="edit" aspectratio="f"/>
                </v:line>
                <v:shape id="文本框 211" o:spid="_x0000_s1026" o:spt="202" type="#_x0000_t202" style="position:absolute;left:1657350;top:1093470;height:274320;width:73342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Q5gfSAAAABQEAAA8AAAAAAAAAAQAgAAAAIgAAAGRycy9kb3ducmV2LnhtbFBLAQIUABQAAAAI&#10;AIdO4kCLXq3hugEAAF0DAAAOAAAAAAAAAAEAIAAAACEBAABkcnMvZTJvRG9jLnhtbFBLBQYAAAAA&#10;BgAGAFkBAABNBQAAAAA=&#10;">
                  <v:fill on="f" focussize="0,0"/>
                  <v:stroke on="f"/>
                  <v:imagedata o:title=""/>
                  <o:lock v:ext="edit" aspectratio="f"/>
                  <v:textbox>
                    <w:txbxContent>
                      <w:p w14:paraId="70EF1D4A">
                        <w:pPr>
                          <w:ind w:firstLine="0" w:firstLineChars="0"/>
                          <w:rPr>
                            <w:rFonts w:hint="eastAsia"/>
                            <w:sz w:val="21"/>
                            <w:szCs w:val="21"/>
                          </w:rPr>
                        </w:pPr>
                        <w:r>
                          <w:rPr>
                            <w:rFonts w:hint="eastAsia"/>
                            <w:sz w:val="21"/>
                            <w:szCs w:val="21"/>
                          </w:rPr>
                          <w:t>损耗2.0</w:t>
                        </w:r>
                      </w:p>
                    </w:txbxContent>
                  </v:textbox>
                </v:shape>
                <v:line id="直接连接符 213" o:spid="_x0000_s1026" o:spt="20" style="position:absolute;left:1514475;top:1739265;flip:y;height:137160;width:209550;" filled="f" stroked="t" coordsize="21600,21600" o:gfxdata="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l8U2DNMAAAAFAQAADwAAAAAA&#10;AAABACAAAAAiAAAAZHJzL2Rvd25yZXYueG1sUEsBAhQAFAAAAAgAh07iQATaJy8YAgAABQQAAA4A&#10;AAAAAAAAAQAgAAAAIgEAAGRycy9lMm9Eb2MueG1sUEsFBgAAAAAGAAYAWQEAAKwFAAAAAA==&#10;">
                  <v:fill on="f" focussize="0,0"/>
                  <v:stroke color="#000000" joinstyle="round" dashstyle="dash" endarrow="block"/>
                  <v:imagedata o:title=""/>
                  <o:lock v:ext="edit" aspectratio="f"/>
                </v:line>
                <v:shape id="文本框 215" o:spid="_x0000_s1026" o:spt="202" type="#_x0000_t202" style="position:absolute;left:1647825;top:1621155;height:274320;width:73342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79DmB9IAAAAFAQAADwAAAAAAAAABACAAAAAiAAAAZHJzL2Rvd25yZXYueG1sUEsBAhQAFAAAAAgA&#10;h07iQJ5aBCi5AQAAXQMAAA4AAAAAAAAAAQAgAAAAIQEAAGRycy9lMm9Eb2MueG1sUEsFBgAAAAAG&#10;AAYAWQEAAEwFAAAAAA==&#10;">
                  <v:fill on="f" focussize="0,0"/>
                  <v:stroke on="f"/>
                  <v:imagedata o:title=""/>
                  <o:lock v:ext="edit" aspectratio="f"/>
                  <v:textbox>
                    <w:txbxContent>
                      <w:p w14:paraId="1DDC7755">
                        <w:pPr>
                          <w:ind w:firstLine="0" w:firstLineChars="0"/>
                          <w:rPr>
                            <w:rFonts w:hint="default" w:eastAsia="宋体"/>
                            <w:sz w:val="21"/>
                            <w:szCs w:val="21"/>
                            <w:lang w:val="en-US" w:eastAsia="zh-CN"/>
                          </w:rPr>
                        </w:pPr>
                        <w:r>
                          <w:rPr>
                            <w:rFonts w:hint="eastAsia"/>
                            <w:sz w:val="21"/>
                            <w:szCs w:val="21"/>
                          </w:rPr>
                          <w:t>损耗</w:t>
                        </w:r>
                        <w:r>
                          <w:rPr>
                            <w:rFonts w:hint="eastAsia"/>
                            <w:sz w:val="21"/>
                            <w:szCs w:val="21"/>
                            <w:lang w:val="en-US" w:eastAsia="zh-CN"/>
                          </w:rPr>
                          <w:t>1.0</w:t>
                        </w:r>
                      </w:p>
                    </w:txbxContent>
                  </v:textbox>
                </v:shape>
                <v:line id="直接连接符 217" o:spid="_x0000_s1026" o:spt="20" style="position:absolute;left:3756025;top:936625;height:635;width:542925;" filled="f" stroked="t" coordsize="21600,21600" o:gfxdata="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jn8C2tcAAAAFAQAADwAAAAAAAAABACAAAAAi&#10;AAAAZHJzL2Rvd25yZXYueG1sUEsBAhQAFAAAAAgAh07iQA22Jm4LAgAA+AMAAA4AAAAAAAAAAQAg&#10;AAAAJgEAAGRycy9lMm9Eb2MueG1sUEsFBgAAAAAGAAYAWQEAAKMFAAAAAA==&#10;">
                  <v:fill on="f" focussize="0,0"/>
                  <v:stroke color="#000000" joinstyle="round" endarrow="block"/>
                  <v:imagedata o:title=""/>
                  <o:lock v:ext="edit" aspectratio="f"/>
                </v:line>
                <v:shape id="文本框 219" o:spid="_x0000_s1026" o:spt="202" type="#_x0000_t202" style="position:absolute;left:3781425;top:710565;height:274320;width:48450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v0OYH0gAAAAUBAAAPAAAAAAAAAAEAIAAAACIAAABkcnMvZG93bnJldi54bWxQSwECFAAUAAAA&#10;CACHTuJAO1kz87sBAABcAwAADgAAAAAAAAABACAAAAAhAQAAZHJzL2Uyb0RvYy54bWxQSwUGAAAA&#10;AAYABgBZAQAATgUAAAAA&#10;">
                  <v:fill on="f" focussize="0,0"/>
                  <v:stroke on="f"/>
                  <v:imagedata o:title=""/>
                  <o:lock v:ext="edit" aspectratio="f"/>
                  <v:textbox>
                    <w:txbxContent>
                      <w:p w14:paraId="5C707B2B">
                        <w:pPr>
                          <w:pStyle w:val="23"/>
                          <w:bidi w:val="0"/>
                          <w:rPr>
                            <w:rFonts w:hint="default" w:eastAsia="宋体"/>
                            <w:lang w:val="en-US" w:eastAsia="zh-CN"/>
                          </w:rPr>
                        </w:pPr>
                        <w:r>
                          <w:rPr>
                            <w:rFonts w:hint="eastAsia"/>
                            <w:lang w:val="en-US" w:eastAsia="zh-CN"/>
                          </w:rPr>
                          <w:t>2.4</w:t>
                        </w:r>
                      </w:p>
                    </w:txbxContent>
                  </v:textbox>
                </v:shape>
                <v:shape id="文本框 221" o:spid="_x0000_s1026" o:spt="202" type="#_x0000_t202" style="position:absolute;left:1685925;top:2419985;height:296545;width:1047750;" filled="f" stroked="t" coordsize="21600,21600" o:gfxdata="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qycnTTAAAABQEAAA8AAAAAAAAAAQAg&#10;AAAAIgAAAGRycy9kb3ducmV2LnhtbFBLAQIUABQAAAAIAIdO4kByDHYMEwIAAB0EAAAOAAAAAAAA&#10;AAEAIAAAACIBAABkcnMvZTJvRG9jLnhtbFBLBQYAAAAABgAGAFkBAACnBQAAAAA=&#10;">
                  <v:fill on="f" focussize="0,0"/>
                  <v:stroke color="#000000" joinstyle="miter"/>
                  <v:imagedata o:title=""/>
                  <o:lock v:ext="edit" aspectratio="f"/>
                  <v:textbox>
                    <w:txbxContent>
                      <w:p w14:paraId="7B5FD33E">
                        <w:pPr>
                          <w:ind w:firstLine="0" w:firstLineChars="0"/>
                          <w:jc w:val="center"/>
                          <w:rPr>
                            <w:rFonts w:hint="eastAsia"/>
                            <w:sz w:val="21"/>
                            <w:szCs w:val="21"/>
                          </w:rPr>
                        </w:pPr>
                        <w:r>
                          <w:rPr>
                            <w:rFonts w:hint="eastAsia"/>
                            <w:sz w:val="21"/>
                            <w:szCs w:val="21"/>
                          </w:rPr>
                          <w:t>工艺用水</w:t>
                        </w:r>
                      </w:p>
                    </w:txbxContent>
                  </v:textbox>
                </v:shape>
                <v:line id="直接连接符 223" o:spid="_x0000_s1026" o:spt="20" style="position:absolute;left:676275;top:2541270;height:635;width:1009650;" filled="f" stroked="t" coordsize="21600,21600" o:gfxdata="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5/AtrXAAAABQEAAA8AAAAAAAAAAQAgAAAA&#10;IgAAAGRycy9kb3ducmV2LnhtbFBLAQIUABQAAAAIAIdO4kBPYunVDAIAAPkDAAAOAAAAAAAAAAEA&#10;IAAAACYBAABkcnMvZTJvRG9jLnhtbFBLBQYAAAAABgAGAFkBAACkBQAAAAA=&#10;">
                  <v:fill on="f" focussize="0,0"/>
                  <v:stroke color="#000000" joinstyle="round" endarrow="block"/>
                  <v:imagedata o:title=""/>
                  <o:lock v:ext="edit" aspectratio="f"/>
                </v:line>
                <v:shape id="文本框 225" o:spid="_x0000_s1026" o:spt="202" type="#_x0000_t202" style="position:absolute;left:895985;top:2311400;height:274320;width:46672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79DmB9IAAAAFAQAADwAAAAAAAAABACAAAAAiAAAAZHJzL2Rvd25yZXYueG1sUEsBAhQAFAAAAAgA&#10;h07iQKObFre5AQAAXAMAAA4AAAAAAAAAAQAgAAAAIQEAAGRycy9lMm9Eb2MueG1sUEsFBgAAAAAG&#10;AAYAWQEAAEwFAAAAAA==&#10;">
                  <v:fill on="f" focussize="0,0"/>
                  <v:stroke on="f"/>
                  <v:imagedata o:title=""/>
                  <o:lock v:ext="edit" aspectratio="f"/>
                  <v:textbox>
                    <w:txbxContent>
                      <w:p w14:paraId="0B5A38FB">
                        <w:pPr>
                          <w:pStyle w:val="23"/>
                          <w:bidi w:val="0"/>
                        </w:pPr>
                        <w:r>
                          <w:rPr>
                            <w:rFonts w:hint="eastAsia"/>
                            <w:lang w:val="en-US" w:eastAsia="zh-CN"/>
                          </w:rPr>
                          <w:t>60</w:t>
                        </w:r>
                        <w:r>
                          <w:rPr>
                            <w:rFonts w:hint="eastAsia"/>
                          </w:rPr>
                          <w:t>.0</w:t>
                        </w:r>
                      </w:p>
                    </w:txbxContent>
                  </v:textbox>
                </v:shape>
                <v:line id="直接连接符 227" o:spid="_x0000_s1026" o:spt="20" style="position:absolute;left:1713865;top:2286000;flip:y;height:137160;width:209550;" filled="f" stroked="t" coordsize="21600,21600" o:gfxdata="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JfFNgzTAAAABQEAAA8AAAAA&#10;AAAAAQAgAAAAIgAAAGRycy9kb3ducmV2LnhtbFBLAQIUABQAAAAIAIdO4kAo2KBZGQIAAAUEAAAO&#10;AAAAAAAAAAEAIAAAACIBAABkcnMvZTJvRG9jLnhtbFBLBQYAAAAABgAGAFkBAACtBQAAAAA=&#10;">
                  <v:fill on="f" focussize="0,0"/>
                  <v:stroke color="#000000" joinstyle="round" dashstyle="dash" endarrow="block"/>
                  <v:imagedata o:title=""/>
                  <o:lock v:ext="edit" aspectratio="f"/>
                </v:line>
                <v:shape id="文本框 229" o:spid="_x0000_s1026" o:spt="202" type="#_x0000_t202" style="position:absolute;left:1814830;top:2148840;height:274320;width:146621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79DmB9IAAAAFAQAADwAAAAAAAAABACAAAAAiAAAAZHJzL2Rvd25yZXYueG1sUEsBAhQAFAAAAAgA&#10;h07iQL2OHcy5AQAAXgMAAA4AAAAAAAAAAQAgAAAAIQEAAGRycy9lMm9Eb2MueG1sUEsFBgAAAAAG&#10;AAYAWQEAAEwFAAAAAA==&#10;">
                  <v:fill on="f" focussize="0,0"/>
                  <v:stroke on="f"/>
                  <v:imagedata o:title=""/>
                  <o:lock v:ext="edit" aspectratio="f"/>
                  <v:textbox>
                    <w:txbxContent>
                      <w:p w14:paraId="7698D2B5">
                        <w:pPr>
                          <w:ind w:firstLine="0" w:firstLineChars="0"/>
                          <w:rPr>
                            <w:rFonts w:hint="eastAsia"/>
                            <w:sz w:val="21"/>
                            <w:szCs w:val="21"/>
                          </w:rPr>
                        </w:pPr>
                        <w:r>
                          <w:rPr>
                            <w:rFonts w:hint="eastAsia"/>
                            <w:sz w:val="21"/>
                            <w:szCs w:val="21"/>
                          </w:rPr>
                          <w:t>进入产品及损耗</w:t>
                        </w:r>
                        <w:r>
                          <w:rPr>
                            <w:rFonts w:hint="eastAsia"/>
                            <w:sz w:val="21"/>
                            <w:szCs w:val="21"/>
                            <w:lang w:val="en-US" w:eastAsia="zh-CN"/>
                          </w:rPr>
                          <w:t>64</w:t>
                        </w:r>
                        <w:r>
                          <w:rPr>
                            <w:rFonts w:hint="eastAsia"/>
                            <w:sz w:val="21"/>
                            <w:szCs w:val="21"/>
                          </w:rPr>
                          <w:t>.0</w:t>
                        </w:r>
                      </w:p>
                    </w:txbxContent>
                  </v:textbox>
                </v:shape>
                <v:shape id="文本框 231" o:spid="_x0000_s1026" o:spt="202" type="#_x0000_t202" style="position:absolute;left:1800225;top:2806065;height:274320;width:126682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v&#10;0OYH0gAAAAUBAAAPAAAAAAAAAAEAIAAAACIAAABkcnMvZG93bnJldi54bWxQSwECFAAUAAAACACH&#10;TuJAKuUzrbgBAABeAwAADgAAAAAAAAABACAAAAAhAQAAZHJzL2Uyb0RvYy54bWxQSwUGAAAAAAYA&#10;BgBZAQAASwUAAAAA&#10;">
                  <v:fill on="f" focussize="0,0"/>
                  <v:stroke on="f"/>
                  <v:imagedata o:title=""/>
                  <o:lock v:ext="edit" aspectratio="f"/>
                  <v:textbox>
                    <w:txbxContent>
                      <w:p w14:paraId="64980C01">
                        <w:pPr>
                          <w:pStyle w:val="23"/>
                          <w:bidi w:val="0"/>
                          <w:rPr>
                            <w:rFonts w:hint="eastAsia"/>
                          </w:rPr>
                        </w:pPr>
                        <w:r>
                          <w:rPr>
                            <w:rFonts w:hint="eastAsia"/>
                            <w:lang w:val="en-US" w:eastAsia="zh-CN"/>
                          </w:rPr>
                          <w:t>4.0</w:t>
                        </w:r>
                        <w:r>
                          <w:rPr>
                            <w:rFonts w:hint="eastAsia"/>
                          </w:rPr>
                          <w:t>回用于生产</w:t>
                        </w:r>
                      </w:p>
                    </w:txbxContent>
                  </v:textbox>
                </v:shape>
                <v:line id="直接连接符 233" o:spid="_x0000_s1026" o:spt="20" style="position:absolute;left:1476375;top:3036570;flip:x;height:1270;width:1628775;" filled="f" stroked="t" coordsize="21600,21600" o:gfxdata="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T2uFNQAAAAFAQAADwAAAAAAAAABACAAAAAi&#10;AAAAZHJzL2Rvd25yZXYueG1sUEsBAhQAFAAAAAgAh07iQK5fKakOAgAAAQQAAA4AAAAAAAAAAQAg&#10;AAAAIwEAAGRycy9lMm9Eb2MueG1sUEsFBgAAAAAGAAYAWQEAAKMFAAAAAA==&#10;">
                  <v:fill on="f" focussize="0,0"/>
                  <v:stroke color="#000000" joinstyle="round"/>
                  <v:imagedata o:title=""/>
                  <o:lock v:ext="edit" aspectratio="f"/>
                </v:line>
                <v:line id="直接连接符 235" o:spid="_x0000_s1026" o:spt="20" style="position:absolute;left:3114040;top:2036445;height:1000125;width:635;" filled="f" stroked="t" coordsize="21600,21600" o:gfxdata="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QuhutQAAAAFAQAADwAAAAAAAAABACAAAAAiAAAAZHJz&#10;L2Rvd25yZXYueG1sUEsBAhQAFAAAAAgAh07iQPDjBCEIAgAA9gMAAA4AAAAAAAAAAQAgAAAAIwEA&#10;AGRycy9lMm9Eb2MueG1sUEsFBgAAAAAGAAYAWQEAAJ0FAAAAAA==&#10;">
                  <v:fill on="f" focussize="0,0"/>
                  <v:stroke color="#000000" joinstyle="round"/>
                  <v:imagedata o:title=""/>
                  <o:lock v:ext="edit" aspectratio="f"/>
                </v:line>
                <v:shape id="文本框 237" o:spid="_x0000_s1026" o:spt="202" type="#_x0000_t202" style="position:absolute;left:108585;top:2934335;height:476250;width:606425;" filled="f" stroked="f" coordsize="21600,21600" o:gfxdata="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v0OYH0gAAAAUBAAAPAAAAAAAAAAEAIAAAACIAAABkcnMvZG93bnJldi54bWxQSwECFAAUAAAA&#10;CACHTuJAudvisLsBAABcAwAADgAAAAAAAAABACAAAAAhAQAAZHJzL2Uyb0RvYy54bWxQSwUGAAAA&#10;AAYABgBZAQAATgUAAAAA&#10;">
                  <v:fill on="f" focussize="0,0"/>
                  <v:stroke on="f"/>
                  <v:imagedata o:title=""/>
                  <o:lock v:ext="edit" aspectratio="f"/>
                  <v:textbox>
                    <w:txbxContent>
                      <w:p w14:paraId="1A151FAB">
                        <w:pPr>
                          <w:ind w:left="0" w:firstLine="0" w:firstLineChars="0"/>
                          <w:rPr>
                            <w:rFonts w:hint="default" w:eastAsia="宋体"/>
                            <w:sz w:val="21"/>
                            <w:szCs w:val="21"/>
                            <w:lang w:val="en-US" w:eastAsia="zh-CN"/>
                          </w:rPr>
                        </w:pPr>
                        <w:r>
                          <w:rPr>
                            <w:rFonts w:hint="eastAsia"/>
                            <w:sz w:val="21"/>
                            <w:szCs w:val="21"/>
                          </w:rPr>
                          <w:t>新鲜水</w:t>
                        </w:r>
                        <w:r>
                          <w:rPr>
                            <w:rFonts w:hint="eastAsia"/>
                            <w:sz w:val="21"/>
                            <w:szCs w:val="21"/>
                            <w:lang w:val="en-US" w:eastAsia="zh-CN"/>
                          </w:rPr>
                          <w:t>70.0</w:t>
                        </w:r>
                      </w:p>
                    </w:txbxContent>
                  </v:textbox>
                </v:shape>
                <v:line id="直接连接符 239" o:spid="_x0000_s1026" o:spt="20" style="position:absolute;left:2809875;top:2028825;height:635;width:304800;" filled="f" stroked="t" coordsize="21600,21600" o:gfxdata="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QuhutQAAAAFAQAADwAAAAAAAAABACAAAAAiAAAAZHJz&#10;L2Rvd25yZXYueG1sUEsBAhQAFAAAAAgAh07iQEdKa0EIAgAA9QMAAA4AAAAAAAAAAQAgAAAAIwEA&#10;AGRycy9lMm9Eb2MueG1sUEsFBgAAAAAGAAYAWQEAAJ0FAAAAAA==&#10;">
                  <v:fill on="f" focussize="0,0"/>
                  <v:stroke color="#000000" joinstyle="round"/>
                  <v:imagedata o:title=""/>
                  <o:lock v:ext="edit" aspectratio="f"/>
                </v:line>
                <v:line id="直接连接符 241" o:spid="_x0000_s1026" o:spt="20" style="position:absolute;left:1480185;top:2548255;flip:y;height:495300;width:635;" filled="f" stroked="t" coordsize="21600,21600" o:gfxdata="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YXl4nWAAAABQEAAA8AAAAAAAAA&#10;AQAgAAAAIgAAAGRycy9kb3ducmV2LnhtbFBLAQIUABQAAAAIAIdO4kA664VXEwIAAAMEAAAOAAAA&#10;AAAAAAEAIAAAACUBAABkcnMvZTJvRG9jLnhtbFBLBQYAAAAABgAGAFkBAACqBQAAAAA=&#10;">
                  <v:fill on="f" focussize="0,0"/>
                  <v:stroke color="#000000" joinstyle="round" endarrow="block"/>
                  <v:imagedata o:title=""/>
                  <o:lock v:ext="edit" aspectratio="f"/>
                </v:line>
                <w10:wrap type="none"/>
                <w10:anchorlock/>
              </v:group>
            </w:pict>
          </mc:Fallback>
        </mc:AlternateContent>
      </w:r>
    </w:p>
    <w:p w14:paraId="12501426">
      <w:pPr>
        <w:pStyle w:val="25"/>
        <w:bidi w:val="0"/>
        <w:rPr>
          <w:rFonts w:hint="default" w:ascii="Times New Roman" w:hAnsi="Times New Roman" w:cs="Times New Roman"/>
          <w:color w:val="auto"/>
        </w:rPr>
      </w:pPr>
      <w:r>
        <w:rPr>
          <w:rFonts w:hint="default" w:ascii="Times New Roman" w:hAnsi="Times New Roman" w:cs="Times New Roman"/>
          <w:color w:val="auto"/>
        </w:rPr>
        <w:t>图</w:t>
      </w:r>
      <w:r>
        <w:rPr>
          <w:rFonts w:hint="default" w:ascii="Times New Roman" w:hAnsi="Times New Roman" w:cs="Times New Roman"/>
          <w:color w:val="auto"/>
          <w:lang w:val="en-US" w:eastAsia="zh-CN"/>
        </w:rPr>
        <w:t>3</w:t>
      </w:r>
      <w:r>
        <w:rPr>
          <w:rFonts w:hint="default" w:ascii="Times New Roman" w:hAnsi="Times New Roman" w:cs="Times New Roman"/>
          <w:color w:val="auto"/>
        </w:rPr>
        <w:t>.</w:t>
      </w:r>
      <w:r>
        <w:rPr>
          <w:rFonts w:hint="default" w:ascii="Times New Roman" w:hAnsi="Times New Roman"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 xml:space="preserve"> </w:t>
      </w:r>
      <w:r>
        <w:rPr>
          <w:rStyle w:val="27"/>
          <w:rFonts w:hint="default" w:ascii="Times New Roman" w:hAnsi="Times New Roman" w:cs="Times New Roman"/>
          <w:b/>
          <w:color w:val="auto"/>
        </w:rPr>
        <w:t>全厂</w:t>
      </w:r>
      <w:r>
        <w:rPr>
          <w:rFonts w:hint="default" w:ascii="Times New Roman" w:hAnsi="Times New Roman" w:cs="Times New Roman"/>
          <w:color w:val="auto"/>
          <w:lang w:val="en-US" w:eastAsia="zh-CN"/>
        </w:rPr>
        <w:t>验收监测期间水平衡</w:t>
      </w:r>
      <w:r>
        <w:rPr>
          <w:rFonts w:hint="default" w:ascii="Times New Roman" w:hAnsi="Times New Roman" w:cs="Times New Roman"/>
          <w:color w:val="auto"/>
        </w:rPr>
        <w:t>（</w:t>
      </w:r>
      <w:r>
        <w:rPr>
          <w:rFonts w:hint="eastAsia" w:cs="Times New Roman"/>
          <w:color w:val="auto"/>
          <w:lang w:eastAsia="zh-CN"/>
        </w:rPr>
        <w:t>m³/d</w:t>
      </w:r>
      <w:r>
        <w:rPr>
          <w:rFonts w:hint="default" w:ascii="Times New Roman" w:hAnsi="Times New Roman" w:cs="Times New Roman"/>
          <w:color w:val="auto"/>
        </w:rPr>
        <w:t>）</w:t>
      </w:r>
    </w:p>
    <w:p w14:paraId="2F647DCA">
      <w:pPr>
        <w:pStyle w:val="25"/>
        <w:bidi w:val="0"/>
        <w:rPr>
          <w:rFonts w:hint="default" w:ascii="Times New Roman" w:hAnsi="Times New Roman" w:cs="Times New Roman"/>
          <w:color w:val="auto"/>
        </w:rPr>
        <w:sectPr>
          <w:headerReference r:id="rId10" w:type="default"/>
          <w:footerReference r:id="rId11" w:type="default"/>
          <w:type w:val="continuous"/>
          <w:pgSz w:w="11912" w:h="16841"/>
          <w:pgMar w:top="1701" w:right="1417" w:bottom="1701" w:left="1701" w:header="1078" w:footer="773" w:gutter="0"/>
          <w:pgNumType w:fmt="decimal"/>
          <w:cols w:equalWidth="0" w:num="1">
            <w:col w:w="9811"/>
          </w:cols>
        </w:sectPr>
      </w:pPr>
    </w:p>
    <w:p w14:paraId="26E069A0">
      <w:pPr>
        <w:pStyle w:val="3"/>
        <w:bidi w:val="0"/>
        <w:rPr>
          <w:rFonts w:hint="default" w:ascii="Times New Roman" w:hAnsi="Times New Roman" w:cs="Times New Roman"/>
          <w:color w:val="auto"/>
        </w:rPr>
      </w:pPr>
      <w:bookmarkStart w:id="24" w:name="_Toc20020"/>
      <w:r>
        <w:rPr>
          <w:rFonts w:hint="default" w:ascii="Times New Roman" w:hAnsi="Times New Roman" w:cs="Times New Roman"/>
          <w:color w:val="auto"/>
        </w:rPr>
        <w:t>3.5生产工艺</w:t>
      </w:r>
      <w:bookmarkEnd w:id="24"/>
    </w:p>
    <w:p w14:paraId="53A8E20E">
      <w:pPr>
        <w:pStyle w:val="4"/>
        <w:bidi w:val="0"/>
        <w:rPr>
          <w:rFonts w:hint="default" w:ascii="Times New Roman" w:hAnsi="Times New Roman" w:cs="Times New Roman"/>
          <w:color w:val="auto"/>
        </w:rPr>
      </w:pPr>
      <w:bookmarkStart w:id="25" w:name="_Toc16744"/>
      <w:r>
        <w:rPr>
          <w:rFonts w:hint="default" w:ascii="Times New Roman" w:hAnsi="Times New Roman" w:cs="Times New Roman"/>
          <w:color w:val="auto"/>
        </w:rPr>
        <w:t>3.5.1飞灰稳定化预处理工艺流程</w:t>
      </w:r>
      <w:bookmarkEnd w:id="25"/>
    </w:p>
    <w:p w14:paraId="24A201D6">
      <w:pPr>
        <w:bidi w:val="0"/>
        <w:rPr>
          <w:rFonts w:hint="default" w:ascii="Times New Roman" w:hAnsi="Times New Roman" w:cs="Times New Roman"/>
          <w:color w:val="auto"/>
        </w:rPr>
      </w:pPr>
      <w:r>
        <w:rPr>
          <w:rFonts w:hint="default" w:ascii="Times New Roman" w:hAnsi="Times New Roman" w:cs="Times New Roman"/>
          <w:color w:val="auto"/>
        </w:rPr>
        <w:t>项目采用有机高分子螯合剂稳定化处理工艺对飞灰进行稳定化固化处理。通过对飞灰、螯合剂、水按照</w:t>
      </w:r>
      <w:r>
        <w:rPr>
          <w:rFonts w:hint="eastAsia" w:cs="Times New Roman"/>
          <w:color w:val="auto"/>
          <w:lang w:val="en-US" w:eastAsia="zh-CN"/>
        </w:rPr>
        <w:t>100</w:t>
      </w:r>
      <w:r>
        <w:rPr>
          <w:rFonts w:hint="default" w:ascii="Times New Roman" w:hAnsi="Times New Roman" w:cs="Times New Roman"/>
          <w:color w:val="auto"/>
          <w:lang w:eastAsia="zh-CN"/>
        </w:rPr>
        <w:t>：</w:t>
      </w:r>
      <w:r>
        <w:rPr>
          <w:rFonts w:hint="eastAsia" w:cs="Times New Roman"/>
          <w:color w:val="auto"/>
          <w:lang w:val="en-US" w:eastAsia="zh-CN"/>
        </w:rPr>
        <w:t>8</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30</w:t>
      </w:r>
      <w:r>
        <w:rPr>
          <w:rFonts w:hint="default" w:ascii="Times New Roman" w:hAnsi="Times New Roman" w:cs="Times New Roman"/>
          <w:color w:val="auto"/>
        </w:rPr>
        <w:t>的配比进行强制性均匀拌和，发生化学作用，从而使有害物质固化，并把固化后的混合物运输到养护场，当有害物质浸出浓度满足《生活垃圾填埋场污染</w:t>
      </w:r>
      <w:r>
        <w:rPr>
          <w:rFonts w:hint="default" w:ascii="Times New Roman" w:hAnsi="Times New Roman" w:cs="Times New Roman"/>
          <w:color w:val="auto"/>
          <w:highlight w:val="none"/>
        </w:rPr>
        <w:t>控制标准》（</w:t>
      </w:r>
      <w:r>
        <w:rPr>
          <w:rFonts w:hint="default" w:ascii="Times New Roman" w:hAnsi="Times New Roman" w:cs="Times New Roman"/>
          <w:color w:val="auto"/>
          <w:highlight w:val="none"/>
          <w:lang w:eastAsia="zh-CN"/>
        </w:rPr>
        <w:t>GB16889-2024</w:t>
      </w:r>
      <w:r>
        <w:rPr>
          <w:rFonts w:hint="default" w:ascii="Times New Roman" w:hAnsi="Times New Roman" w:cs="Times New Roman"/>
          <w:color w:val="auto"/>
          <w:highlight w:val="none"/>
        </w:rPr>
        <w:t>）的要求后</w:t>
      </w:r>
      <w:r>
        <w:rPr>
          <w:rFonts w:hint="default" w:ascii="Times New Roman" w:hAnsi="Times New Roman" w:cs="Times New Roman"/>
          <w:color w:val="auto"/>
        </w:rPr>
        <w:t>，由输送车送至填埋场填埋处理。</w:t>
      </w:r>
    </w:p>
    <w:p w14:paraId="3315C9EE">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主要的工艺流程为：</w:t>
      </w:r>
    </w:p>
    <w:p w14:paraId="5A768F0A">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①预处理时，通过飞灰储仓下的圆盘给料机定量向混合螺旋输送机供应飞灰。</w:t>
      </w:r>
    </w:p>
    <w:p w14:paraId="6B611760">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②飞灰物料由混合螺旋输送机初步混合后输送至混炼机进料口，对物料进行搅拌混合。当混合物送至混炼机后，螯合剂混合溶液以1.5M</w:t>
      </w:r>
      <w:r>
        <w:rPr>
          <w:rFonts w:hint="default" w:ascii="Times New Roman" w:hAnsi="Times New Roman" w:cs="Times New Roman"/>
          <w:color w:val="auto"/>
          <w:kern w:val="1"/>
          <w:u w:val="none"/>
          <w:lang w:val="en-US" w:eastAsia="zh-CN"/>
        </w:rPr>
        <w:t>P</w:t>
      </w:r>
      <w:r>
        <w:rPr>
          <w:rFonts w:hint="default" w:ascii="Times New Roman" w:hAnsi="Times New Roman" w:cs="Times New Roman"/>
          <w:color w:val="auto"/>
          <w:kern w:val="1"/>
          <w:u w:val="none"/>
        </w:rPr>
        <w:t>a的压力喷入混炼机。</w:t>
      </w:r>
    </w:p>
    <w:p w14:paraId="1C0344F7">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③混炼机内设置水分自动调整装置，实时监测物料特性以调螯合剂和水添加量。</w:t>
      </w:r>
    </w:p>
    <w:p w14:paraId="00FA34A6">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④飞灰、螯合剂在混炼机内混合，飞灰中的重金属类与螯合剂发生络合反应，生成不溶于水的物质从而被稳定化。</w:t>
      </w:r>
    </w:p>
    <w:p w14:paraId="320F92DA">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⑤经过混炼机（搅拌机）处理后的物料自由下落排出，经过吨袋打包机打包。</w:t>
      </w:r>
    </w:p>
    <w:p w14:paraId="1F77B725">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⑥打包后的飞灰固化物由轮式装载机运至飞灰</w:t>
      </w:r>
      <w:r>
        <w:rPr>
          <w:rFonts w:hint="default" w:ascii="Times New Roman" w:hAnsi="Times New Roman" w:cs="Times New Roman"/>
          <w:color w:val="auto"/>
          <w:kern w:val="1"/>
          <w:u w:val="none"/>
          <w:lang w:val="en-US" w:eastAsia="zh-CN"/>
        </w:rPr>
        <w:t>固化物养护区</w:t>
      </w:r>
      <w:r>
        <w:rPr>
          <w:rFonts w:hint="default" w:ascii="Times New Roman" w:hAnsi="Times New Roman" w:cs="Times New Roman"/>
          <w:color w:val="auto"/>
          <w:kern w:val="1"/>
          <w:u w:val="none"/>
        </w:rPr>
        <w:t>继续养护。十天后，抽取样品进行化验分析，全部合格后由运输车辆将稳定固化后的飞灰运输至填埋场填埋。</w:t>
      </w:r>
    </w:p>
    <w:p w14:paraId="023A1C8E">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spacing w:val="-6"/>
          <w:kern w:val="1"/>
          <w:u w:val="none"/>
        </w:rPr>
        <w:t>⑦若有任一不合格，则抽样来源的飞灰固化物采取破碎工艺后全部回炉到混炼机重新处理。</w:t>
      </w:r>
    </w:p>
    <w:p w14:paraId="6ECE52F1">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飞灰稳定化固化处理工艺流程图如下：</w:t>
      </w:r>
    </w:p>
    <w:p w14:paraId="0328B7AB">
      <w:pPr>
        <w:spacing w:line="360" w:lineRule="auto"/>
        <w:jc w:val="center"/>
        <w:rPr>
          <w:rFonts w:hint="default" w:ascii="Times New Roman" w:hAnsi="Times New Roman" w:cs="Times New Roman"/>
          <w:color w:val="auto"/>
          <w:kern w:val="1"/>
          <w:u w:val="none"/>
        </w:rPr>
      </w:pPr>
      <w:r>
        <w:rPr>
          <w:rFonts w:hint="default" w:ascii="Times New Roman" w:hAnsi="Times New Roman" w:cs="Times New Roman"/>
          <w:color w:val="auto"/>
          <w:u w:val="none"/>
        </w:rPr>
        <mc:AlternateContent>
          <mc:Choice Requires="wps">
            <w:drawing>
              <wp:anchor distT="0" distB="0" distL="114300" distR="114300" simplePos="0" relativeHeight="251665408" behindDoc="0" locked="0" layoutInCell="1" allowOverlap="1">
                <wp:simplePos x="0" y="0"/>
                <wp:positionH relativeFrom="column">
                  <wp:posOffset>4100830</wp:posOffset>
                </wp:positionH>
                <wp:positionV relativeFrom="paragraph">
                  <wp:posOffset>2348230</wp:posOffset>
                </wp:positionV>
                <wp:extent cx="843280" cy="238125"/>
                <wp:effectExtent l="0" t="0" r="0" b="0"/>
                <wp:wrapNone/>
                <wp:docPr id="344" name="文本框 344"/>
                <wp:cNvGraphicFramePr/>
                <a:graphic xmlns:a="http://schemas.openxmlformats.org/drawingml/2006/main">
                  <a:graphicData uri="http://schemas.microsoft.com/office/word/2010/wordprocessingShape">
                    <wps:wsp>
                      <wps:cNvSpPr txBox="1"/>
                      <wps:spPr>
                        <a:xfrm>
                          <a:off x="0" y="0"/>
                          <a:ext cx="843280" cy="238125"/>
                        </a:xfrm>
                        <a:prstGeom prst="rect">
                          <a:avLst/>
                        </a:prstGeom>
                        <a:noFill/>
                        <a:ln>
                          <a:noFill/>
                        </a:ln>
                      </wps:spPr>
                      <wps:txbx>
                        <w:txbxContent>
                          <w:p w14:paraId="1E92EFCC">
                            <w:pPr>
                              <w:pStyle w:val="23"/>
                              <w:keepNext w:val="0"/>
                              <w:keepLines w:val="0"/>
                              <w:pageBreakBefore w:val="0"/>
                              <w:widowControl/>
                              <w:kinsoku w:val="0"/>
                              <w:wordWrap/>
                              <w:overflowPunct/>
                              <w:topLinePunct w:val="0"/>
                              <w:bidi w:val="0"/>
                              <w:adjustRightInd w:val="0"/>
                              <w:snapToGrid w:val="0"/>
                              <w:spacing w:line="240" w:lineRule="exact"/>
                              <w:textAlignment w:val="center"/>
                              <w:rPr>
                                <w:rFonts w:hint="eastAsia"/>
                              </w:rPr>
                            </w:pPr>
                            <w:r>
                              <w:rPr>
                                <w:rFonts w:hint="eastAsia"/>
                              </w:rPr>
                              <w:t>不合格</w:t>
                            </w:r>
                          </w:p>
                        </w:txbxContent>
                      </wps:txbx>
                      <wps:bodyPr upright="1"/>
                    </wps:wsp>
                  </a:graphicData>
                </a:graphic>
              </wp:anchor>
            </w:drawing>
          </mc:Choice>
          <mc:Fallback>
            <w:pict>
              <v:shape id="_x0000_s1026" o:spid="_x0000_s1026" o:spt="202" type="#_x0000_t202" style="position:absolute;left:0pt;margin-left:322.9pt;margin-top:184.9pt;height:18.75pt;width:66.4pt;z-index:251665408;mso-width-relative:page;mso-height-relative:page;" filled="f" stroked="f" coordsize="21600,21600" o:gfxdata="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oH+KT&#10;2QAAAAsBAAAPAAAAAAAAAAEAIAAAACIAAABkcnMvZG93bnJldi54bWxQSwECFAAUAAAACACHTuJA&#10;5VCSO64BAABRAwAADgAAAAAAAAABACAAAAAoAQAAZHJzL2Uyb0RvYy54bWxQSwUGAAAAAAYABgBZ&#10;AQAASAUAAAAA&#10;">
                <v:fill on="f" focussize="0,0"/>
                <v:stroke on="f"/>
                <v:imagedata o:title=""/>
                <o:lock v:ext="edit" aspectratio="f"/>
                <v:textbox>
                  <w:txbxContent>
                    <w:p w14:paraId="1E92EFCC">
                      <w:pPr>
                        <w:pStyle w:val="23"/>
                        <w:keepNext w:val="0"/>
                        <w:keepLines w:val="0"/>
                        <w:pageBreakBefore w:val="0"/>
                        <w:widowControl/>
                        <w:kinsoku w:val="0"/>
                        <w:wordWrap/>
                        <w:overflowPunct/>
                        <w:topLinePunct w:val="0"/>
                        <w:bidi w:val="0"/>
                        <w:adjustRightInd w:val="0"/>
                        <w:snapToGrid w:val="0"/>
                        <w:spacing w:line="240" w:lineRule="exact"/>
                        <w:textAlignment w:val="center"/>
                        <w:rPr>
                          <w:rFonts w:hint="eastAsia"/>
                        </w:rPr>
                      </w:pPr>
                      <w:r>
                        <w:rPr>
                          <w:rFonts w:hint="eastAsia"/>
                        </w:rPr>
                        <w:t>不合格</w:t>
                      </w:r>
                    </w:p>
                  </w:txbxContent>
                </v:textbox>
              </v:shape>
            </w:pict>
          </mc:Fallback>
        </mc:AlternateContent>
      </w:r>
      <w:r>
        <w:rPr>
          <w:rFonts w:hint="default" w:ascii="Times New Roman" w:hAnsi="Times New Roman" w:cs="Times New Roman"/>
          <w:color w:val="auto"/>
          <w:u w:val="none"/>
        </w:rPr>
        <mc:AlternateContent>
          <mc:Choice Requires="wps">
            <w:drawing>
              <wp:anchor distT="0" distB="0" distL="114300" distR="114300" simplePos="0" relativeHeight="251661312" behindDoc="0" locked="0" layoutInCell="1" allowOverlap="1">
                <wp:simplePos x="0" y="0"/>
                <wp:positionH relativeFrom="column">
                  <wp:posOffset>3999230</wp:posOffset>
                </wp:positionH>
                <wp:positionV relativeFrom="paragraph">
                  <wp:posOffset>2544445</wp:posOffset>
                </wp:positionV>
                <wp:extent cx="568960" cy="274320"/>
                <wp:effectExtent l="0" t="0" r="0" b="0"/>
                <wp:wrapNone/>
                <wp:docPr id="345" name="文本框 345"/>
                <wp:cNvGraphicFramePr/>
                <a:graphic xmlns:a="http://schemas.openxmlformats.org/drawingml/2006/main">
                  <a:graphicData uri="http://schemas.microsoft.com/office/word/2010/wordprocessingShape">
                    <wps:wsp>
                      <wps:cNvSpPr txBox="1"/>
                      <wps:spPr>
                        <a:xfrm>
                          <a:off x="0" y="0"/>
                          <a:ext cx="568960" cy="274320"/>
                        </a:xfrm>
                        <a:prstGeom prst="rect">
                          <a:avLst/>
                        </a:prstGeom>
                        <a:noFill/>
                        <a:ln>
                          <a:noFill/>
                        </a:ln>
                      </wps:spPr>
                      <wps:txbx>
                        <w:txbxContent>
                          <w:p w14:paraId="79040C1F">
                            <w:pPr>
                              <w:pStyle w:val="23"/>
                              <w:bidi w:val="0"/>
                              <w:rPr>
                                <w:rFonts w:hint="eastAsia"/>
                              </w:rPr>
                            </w:pPr>
                            <w:r>
                              <w:rPr>
                                <w:rFonts w:hint="eastAsia"/>
                              </w:rPr>
                              <w:t>合格</w:t>
                            </w:r>
                          </w:p>
                        </w:txbxContent>
                      </wps:txbx>
                      <wps:bodyPr upright="1"/>
                    </wps:wsp>
                  </a:graphicData>
                </a:graphic>
              </wp:anchor>
            </w:drawing>
          </mc:Choice>
          <mc:Fallback>
            <w:pict>
              <v:shape id="_x0000_s1026" o:spid="_x0000_s1026" o:spt="202" type="#_x0000_t202" style="position:absolute;left:0pt;margin-left:314.9pt;margin-top:200.35pt;height:21.6pt;width:44.8pt;z-index:251661312;mso-width-relative:page;mso-height-relative:page;" filled="f" stroked="f" coordsize="21600,21600" o:gfxdata="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Sm9EB&#10;2AAAAAsBAAAPAAAAAAAAAAEAIAAAACIAAABkcnMvZG93bnJldi54bWxQSwECFAAUAAAACACHTuJA&#10;UlTyT68BAABRAwAADgAAAAAAAAABACAAAAAnAQAAZHJzL2Uyb0RvYy54bWxQSwUGAAAAAAYABgBZ&#10;AQAASAUAAAAA&#10;">
                <v:fill on="f" focussize="0,0"/>
                <v:stroke on="f"/>
                <v:imagedata o:title=""/>
                <o:lock v:ext="edit" aspectratio="f"/>
                <v:textbox>
                  <w:txbxContent>
                    <w:p w14:paraId="79040C1F">
                      <w:pPr>
                        <w:pStyle w:val="23"/>
                        <w:bidi w:val="0"/>
                        <w:rPr>
                          <w:rFonts w:hint="eastAsia"/>
                        </w:rPr>
                      </w:pPr>
                      <w:r>
                        <w:rPr>
                          <w:rFonts w:hint="eastAsia"/>
                        </w:rPr>
                        <w:t>合格</w:t>
                      </w:r>
                    </w:p>
                  </w:txbxContent>
                </v:textbox>
              </v:shape>
            </w:pict>
          </mc:Fallback>
        </mc:AlternateContent>
      </w:r>
      <w:r>
        <w:rPr>
          <w:rFonts w:hint="default" w:ascii="Times New Roman" w:hAnsi="Times New Roman" w:cs="Times New Roman"/>
          <w:color w:val="auto"/>
          <w:szCs w:val="22"/>
          <w:u w:val="none"/>
        </w:rPr>
        <w:drawing>
          <wp:inline distT="0" distB="0" distL="114300" distR="114300">
            <wp:extent cx="5395595" cy="3110230"/>
            <wp:effectExtent l="0" t="0" r="14605" b="13970"/>
            <wp:docPr id="3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图片 2"/>
                    <pic:cNvPicPr>
                      <a:picLocks noChangeAspect="1"/>
                    </pic:cNvPicPr>
                  </pic:nvPicPr>
                  <pic:blipFill>
                    <a:blip r:embed="rId21"/>
                    <a:stretch>
                      <a:fillRect/>
                    </a:stretch>
                  </pic:blipFill>
                  <pic:spPr>
                    <a:xfrm>
                      <a:off x="0" y="0"/>
                      <a:ext cx="5395595" cy="3110230"/>
                    </a:xfrm>
                    <a:prstGeom prst="rect">
                      <a:avLst/>
                    </a:prstGeom>
                    <a:noFill/>
                    <a:ln>
                      <a:noFill/>
                    </a:ln>
                  </pic:spPr>
                </pic:pic>
              </a:graphicData>
            </a:graphic>
          </wp:inline>
        </w:drawing>
      </w:r>
      <w:r>
        <w:rPr>
          <w:rFonts w:hint="default" w:ascii="Times New Roman" w:hAnsi="Times New Roman" w:cs="Times New Roman"/>
          <w:color w:val="auto"/>
          <w:u w:val="none"/>
        </w:rPr>
        <mc:AlternateContent>
          <mc:Choice Requires="wps">
            <w:drawing>
              <wp:anchor distT="0" distB="0" distL="114300" distR="114300" simplePos="0" relativeHeight="251662336" behindDoc="0" locked="0" layoutInCell="1" allowOverlap="1">
                <wp:simplePos x="0" y="0"/>
                <wp:positionH relativeFrom="column">
                  <wp:posOffset>4290695</wp:posOffset>
                </wp:positionH>
                <wp:positionV relativeFrom="paragraph">
                  <wp:posOffset>2336165</wp:posOffset>
                </wp:positionV>
                <wp:extent cx="635" cy="247015"/>
                <wp:effectExtent l="48895" t="0" r="64770" b="635"/>
                <wp:wrapNone/>
                <wp:docPr id="347" name="直接连接符 347"/>
                <wp:cNvGraphicFramePr/>
                <a:graphic xmlns:a="http://schemas.openxmlformats.org/drawingml/2006/main">
                  <a:graphicData uri="http://schemas.microsoft.com/office/word/2010/wordprocessingShape">
                    <wps:wsp>
                      <wps:cNvCnPr/>
                      <wps:spPr>
                        <a:xfrm flipH="1" flipV="1">
                          <a:off x="0" y="0"/>
                          <a:ext cx="635" cy="24701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 y;margin-left:337.85pt;margin-top:183.95pt;height:19.45pt;width:0.05pt;z-index:251662336;mso-width-relative:page;mso-height-relative:page;" filled="f" stroked="t" coordsize="21600,21600" o:gfxdata="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fXwwN2gAAAAsBAAAPAAAAAAAAAAEAIAAA&#10;ACIAAABkcnMvZG93bnJldi54bWxQSwECFAAUAAAACACHTuJAtqCCBQoCAAD+AwAADgAAAAAAAAAB&#10;ACAAAAApAQAAZHJzL2Uyb0RvYy54bWxQSwUGAAAAAAYABgBZAQAApQUAAAAA&#10;">
                <v:fill on="f" focussize="0,0"/>
                <v:stroke color="#000000" joinstyle="round" endarrow="open"/>
                <v:imagedata o:title=""/>
                <o:lock v:ext="edit" aspectratio="f"/>
              </v:line>
            </w:pict>
          </mc:Fallback>
        </mc:AlternateContent>
      </w:r>
      <w:r>
        <w:rPr>
          <w:rFonts w:hint="default" w:ascii="Times New Roman" w:hAnsi="Times New Roman" w:cs="Times New Roman"/>
          <w:color w:val="auto"/>
          <w:u w:val="none"/>
        </w:rPr>
        <mc:AlternateContent>
          <mc:Choice Requires="wps">
            <w:drawing>
              <wp:anchor distT="0" distB="0" distL="114300" distR="114300" simplePos="0" relativeHeight="251663360" behindDoc="0" locked="0" layoutInCell="1" allowOverlap="1">
                <wp:simplePos x="0" y="0"/>
                <wp:positionH relativeFrom="column">
                  <wp:posOffset>3919220</wp:posOffset>
                </wp:positionH>
                <wp:positionV relativeFrom="paragraph">
                  <wp:posOffset>2053590</wp:posOffset>
                </wp:positionV>
                <wp:extent cx="828040" cy="266700"/>
                <wp:effectExtent l="4445" t="4445" r="5715" b="14605"/>
                <wp:wrapNone/>
                <wp:docPr id="349" name="文本框 349"/>
                <wp:cNvGraphicFramePr/>
                <a:graphic xmlns:a="http://schemas.openxmlformats.org/drawingml/2006/main">
                  <a:graphicData uri="http://schemas.microsoft.com/office/word/2010/wordprocessingShape">
                    <wps:wsp>
                      <wps:cNvSpPr txBox="1"/>
                      <wps:spPr>
                        <a:xfrm>
                          <a:off x="0" y="0"/>
                          <a:ext cx="828040" cy="266700"/>
                        </a:xfrm>
                        <a:prstGeom prst="rect">
                          <a:avLst/>
                        </a:prstGeom>
                        <a:noFill/>
                        <a:ln w="9525" cap="flat" cmpd="sng">
                          <a:solidFill>
                            <a:srgbClr val="000000"/>
                          </a:solidFill>
                          <a:prstDash val="solid"/>
                          <a:miter/>
                          <a:headEnd type="none" w="med" len="med"/>
                          <a:tailEnd type="none" w="med" len="med"/>
                        </a:ln>
                      </wps:spPr>
                      <wps:txbx>
                        <w:txbxContent>
                          <w:p w14:paraId="4C78C4F6">
                            <w:pPr>
                              <w:pStyle w:val="23"/>
                              <w:bidi w:val="0"/>
                              <w:rPr>
                                <w:rFonts w:hint="eastAsia"/>
                              </w:rPr>
                            </w:pPr>
                            <w:r>
                              <w:rPr>
                                <w:rFonts w:hint="eastAsia"/>
                              </w:rPr>
                              <w:t>再处理系统</w:t>
                            </w:r>
                          </w:p>
                        </w:txbxContent>
                      </wps:txbx>
                      <wps:bodyPr upright="1"/>
                    </wps:wsp>
                  </a:graphicData>
                </a:graphic>
              </wp:anchor>
            </w:drawing>
          </mc:Choice>
          <mc:Fallback>
            <w:pict>
              <v:shape id="_x0000_s1026" o:spid="_x0000_s1026" o:spt="202" type="#_x0000_t202" style="position:absolute;left:0pt;margin-left:308.6pt;margin-top:161.7pt;height:21pt;width:65.2pt;z-index:251663360;mso-width-relative:page;mso-height-relative:page;" filled="f" stroked="t" coordsize="21600,21600" o:gfxdata="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NBt9TXAAAACwEAAA8AAAAAAAAAAQAgAAAAIgAA&#10;AGRycy9kb3ducmV2LnhtbFBLAQIUABQAAAAIAIdO4kAvVI1xCQIAABAEAAAOAAAAAAAAAAEAIAAA&#10;ACYBAABkcnMvZTJvRG9jLnhtbFBLBQYAAAAABgAGAFkBAAChBQAAAAA=&#10;">
                <v:fill on="f" focussize="0,0"/>
                <v:stroke color="#000000" joinstyle="miter"/>
                <v:imagedata o:title=""/>
                <o:lock v:ext="edit" aspectratio="f"/>
                <v:textbox>
                  <w:txbxContent>
                    <w:p w14:paraId="4C78C4F6">
                      <w:pPr>
                        <w:pStyle w:val="23"/>
                        <w:bidi w:val="0"/>
                        <w:rPr>
                          <w:rFonts w:hint="eastAsia"/>
                        </w:rPr>
                      </w:pPr>
                      <w:r>
                        <w:rPr>
                          <w:rFonts w:hint="eastAsia"/>
                        </w:rPr>
                        <w:t>再处理系统</w:t>
                      </w:r>
                    </w:p>
                  </w:txbxContent>
                </v:textbox>
              </v:shape>
            </w:pict>
          </mc:Fallback>
        </mc:AlternateContent>
      </w:r>
      <w:r>
        <w:rPr>
          <w:rFonts w:hint="default" w:ascii="Times New Roman" w:hAnsi="Times New Roman" w:cs="Times New Roman"/>
          <w:color w:val="auto"/>
          <w:u w:val="none"/>
        </w:rPr>
        <mc:AlternateContent>
          <mc:Choice Requires="wps">
            <w:drawing>
              <wp:anchor distT="0" distB="0" distL="114300" distR="114300" simplePos="0" relativeHeight="251664384" behindDoc="0" locked="0" layoutInCell="1" allowOverlap="1">
                <wp:simplePos x="0" y="0"/>
                <wp:positionH relativeFrom="column">
                  <wp:posOffset>3666490</wp:posOffset>
                </wp:positionH>
                <wp:positionV relativeFrom="paragraph">
                  <wp:posOffset>2195830</wp:posOffset>
                </wp:positionV>
                <wp:extent cx="247650" cy="635"/>
                <wp:effectExtent l="0" t="48895" r="0" b="64770"/>
                <wp:wrapNone/>
                <wp:docPr id="346" name="直接连接符 346"/>
                <wp:cNvGraphicFramePr/>
                <a:graphic xmlns:a="http://schemas.openxmlformats.org/drawingml/2006/main">
                  <a:graphicData uri="http://schemas.microsoft.com/office/word/2010/wordprocessingShape">
                    <wps:wsp>
                      <wps:cNvCnPr/>
                      <wps:spPr>
                        <a:xfrm flipH="1">
                          <a:off x="0" y="0"/>
                          <a:ext cx="24765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288.7pt;margin-top:172.9pt;height:0.05pt;width:19.5pt;z-index:251664384;mso-width-relative:page;mso-height-relative:page;" filled="f" stroked="t" coordsize="21600,21600" o:gfxdata="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&#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ThkMjYAAAACwEAAA8AAAAAAAAAAQAgAAAAIgAAAGRy&#10;cy9kb3ducmV2LnhtbFBLAQIUABQAAAAIAIdO4kDOOqL3BQIAAPQDAAAOAAAAAAAAAAEAIAAAACcB&#10;AABkcnMvZTJvRG9jLnhtbFBLBQYAAAAABgAGAFkBAACeBQAAAAA=&#10;">
                <v:fill on="f" focussize="0,0"/>
                <v:stroke color="#000000" joinstyle="round" endarrow="open"/>
                <v:imagedata o:title=""/>
                <o:lock v:ext="edit" aspectratio="f"/>
              </v:line>
            </w:pict>
          </mc:Fallback>
        </mc:AlternateContent>
      </w:r>
    </w:p>
    <w:p w14:paraId="5A0F6F2C">
      <w:pPr>
        <w:pStyle w:val="25"/>
        <w:bidi w:val="0"/>
        <w:rPr>
          <w:rFonts w:hint="default"/>
          <w:color w:val="auto"/>
        </w:rPr>
      </w:pPr>
      <w:r>
        <w:rPr>
          <w:rFonts w:hint="default"/>
          <w:color w:val="auto"/>
        </w:rPr>
        <w:t>图</w:t>
      </w:r>
      <w:r>
        <w:rPr>
          <w:rFonts w:hint="default"/>
          <w:color w:val="auto"/>
          <w:lang w:val="en-US" w:eastAsia="zh-CN"/>
        </w:rPr>
        <w:t>3.</w:t>
      </w:r>
      <w:r>
        <w:rPr>
          <w:rFonts w:hint="eastAsia"/>
          <w:color w:val="auto"/>
          <w:lang w:val="en-US" w:eastAsia="zh-CN"/>
        </w:rPr>
        <w:t>5</w:t>
      </w:r>
      <w:r>
        <w:rPr>
          <w:rFonts w:hint="default"/>
          <w:color w:val="auto"/>
        </w:rPr>
        <w:t>-</w:t>
      </w:r>
      <w:r>
        <w:rPr>
          <w:rFonts w:hint="eastAsia"/>
          <w:color w:val="auto"/>
          <w:lang w:val="en-US" w:eastAsia="zh-CN"/>
        </w:rPr>
        <w:t>1</w:t>
      </w:r>
      <w:r>
        <w:rPr>
          <w:rFonts w:hint="default"/>
          <w:color w:val="auto"/>
        </w:rPr>
        <w:t xml:space="preserve">  飞灰稳定化固化处理工艺流程</w:t>
      </w:r>
    </w:p>
    <w:p w14:paraId="54CA1E9B">
      <w:pPr>
        <w:pStyle w:val="4"/>
        <w:bidi w:val="0"/>
        <w:rPr>
          <w:rFonts w:hint="default" w:ascii="Times New Roman" w:hAnsi="Times New Roman" w:cs="Times New Roman"/>
          <w:color w:val="auto"/>
        </w:rPr>
      </w:pPr>
      <w:bookmarkStart w:id="26" w:name="_Toc21512"/>
      <w:r>
        <w:rPr>
          <w:rFonts w:hint="default" w:ascii="Times New Roman" w:hAnsi="Times New Roman" w:cs="Times New Roman"/>
          <w:color w:val="auto"/>
        </w:rPr>
        <w:t>3.5.2飞灰稳定化预处理环节产污分析</w:t>
      </w:r>
      <w:bookmarkEnd w:id="26"/>
    </w:p>
    <w:p w14:paraId="396F6CCE">
      <w:pPr>
        <w:rPr>
          <w:rFonts w:hint="default" w:ascii="Times New Roman" w:hAnsi="Times New Roman" w:cs="Times New Roman"/>
          <w:color w:val="auto"/>
        </w:rPr>
      </w:pPr>
      <w:r>
        <w:rPr>
          <w:rFonts w:hint="default" w:ascii="Times New Roman" w:hAnsi="Times New Roman" w:cs="Times New Roman"/>
          <w:color w:val="auto"/>
        </w:rPr>
        <w:t>本项目生产过程产生的主要污染物</w:t>
      </w:r>
      <w:r>
        <w:rPr>
          <w:rFonts w:hint="default" w:ascii="Times New Roman" w:hAnsi="Times New Roman" w:cs="Times New Roman"/>
          <w:color w:val="auto"/>
          <w:lang w:eastAsia="zh-CN"/>
        </w:rPr>
        <w:t>为</w:t>
      </w:r>
      <w:r>
        <w:rPr>
          <w:rFonts w:hint="default" w:ascii="Times New Roman" w:hAnsi="Times New Roman" w:cs="Times New Roman"/>
          <w:color w:val="auto"/>
        </w:rPr>
        <w:t>飞灰装卸</w:t>
      </w:r>
      <w:r>
        <w:rPr>
          <w:rFonts w:hint="eastAsia" w:ascii="Times New Roman" w:hAnsi="Times New Roman" w:cs="Times New Roman"/>
          <w:color w:val="auto"/>
          <w:lang w:eastAsia="zh-CN"/>
        </w:rPr>
        <w:t>、</w:t>
      </w:r>
      <w:r>
        <w:rPr>
          <w:rFonts w:hint="default" w:ascii="Times New Roman" w:hAnsi="Times New Roman" w:cs="Times New Roman"/>
          <w:color w:val="auto"/>
        </w:rPr>
        <w:t>不合格飞灰固化物破碎过程中产生的粉尘、各机械设备运营产生的噪声以及固体废物。项目产生的废水主要是车间冲洗水以及洗车台冲洗废水，主要污染物为</w:t>
      </w:r>
      <w:r>
        <w:rPr>
          <w:rFonts w:hint="eastAsia" w:ascii="Times New Roman" w:hAnsi="Times New Roman" w:cs="Times New Roman"/>
          <w:color w:val="auto"/>
          <w:lang w:val="en-US" w:eastAsia="zh-CN"/>
        </w:rPr>
        <w:t>飞灰颗粒物</w:t>
      </w:r>
      <w:r>
        <w:rPr>
          <w:rFonts w:hint="default" w:ascii="Times New Roman" w:hAnsi="Times New Roman" w:cs="Times New Roman"/>
          <w:color w:val="auto"/>
        </w:rPr>
        <w:t>，经收集沉淀后回用于生产；生活污水经化粪池处理后排入产业园区的市政污水管网继续处理；粉尘主要产生于飞灰接收贮存过程经布袋除尘后的有组织粉尘排放、不合格飞灰固化物破碎过程经布袋除尘后的有组织粉尘排放，以及装卸过程和检修过程中排放的无组织粉尘；噪声主要是各种设备运行时产生的，一般固体废物主要为工作人员办公、生活垃圾；危险废物主要为布袋除尘器的破损滤袋</w:t>
      </w:r>
      <w:r>
        <w:rPr>
          <w:rFonts w:hint="default" w:ascii="Times New Roman" w:hAnsi="Times New Roman" w:cs="Times New Roman"/>
          <w:color w:val="auto"/>
          <w:lang w:eastAsia="zh-CN"/>
        </w:rPr>
        <w:t>，</w:t>
      </w:r>
      <w:r>
        <w:rPr>
          <w:rFonts w:hint="default" w:ascii="Times New Roman" w:hAnsi="Times New Roman" w:cs="Times New Roman"/>
          <w:color w:val="auto"/>
          <w:kern w:val="1"/>
          <w:u w:val="none"/>
          <w:lang w:val="en-US" w:eastAsia="zh-CN"/>
        </w:rPr>
        <w:t>设备维修使用润滑油产生</w:t>
      </w:r>
      <w:r>
        <w:rPr>
          <w:rFonts w:hint="eastAsia" w:ascii="Times New Roman" w:hAnsi="Times New Roman" w:cs="Times New Roman"/>
          <w:color w:val="auto"/>
          <w:kern w:val="1"/>
          <w:u w:val="none"/>
          <w:lang w:val="en-US" w:eastAsia="zh-CN"/>
        </w:rPr>
        <w:t>的</w:t>
      </w:r>
      <w:r>
        <w:rPr>
          <w:rFonts w:hint="default" w:ascii="Times New Roman" w:hAnsi="Times New Roman" w:cs="Times New Roman"/>
          <w:color w:val="auto"/>
          <w:kern w:val="1"/>
          <w:u w:val="none"/>
          <w:lang w:val="en-US" w:eastAsia="zh-CN"/>
        </w:rPr>
        <w:t>废</w:t>
      </w:r>
      <w:r>
        <w:rPr>
          <w:rFonts w:hint="eastAsia" w:ascii="Times New Roman" w:hAnsi="Times New Roman" w:cs="Times New Roman"/>
          <w:color w:val="auto"/>
          <w:kern w:val="1"/>
          <w:u w:val="none"/>
          <w:lang w:val="en-US" w:eastAsia="zh-CN"/>
        </w:rPr>
        <w:t>机油、废</w:t>
      </w:r>
      <w:r>
        <w:rPr>
          <w:rFonts w:hint="default" w:ascii="Times New Roman" w:hAnsi="Times New Roman" w:cs="Times New Roman"/>
          <w:color w:val="auto"/>
          <w:kern w:val="1"/>
          <w:u w:val="none"/>
          <w:lang w:val="en-US" w:eastAsia="zh-CN"/>
        </w:rPr>
        <w:t>油桶；</w:t>
      </w:r>
      <w:r>
        <w:rPr>
          <w:rFonts w:hint="default" w:ascii="Times New Roman" w:hAnsi="Times New Roman" w:cs="Times New Roman"/>
          <w:color w:val="auto"/>
        </w:rPr>
        <w:t>设备维修产生的废含油抹布混入生活垃圾管理和处理。</w:t>
      </w:r>
    </w:p>
    <w:p w14:paraId="6E8809C3">
      <w:pPr>
        <w:pStyle w:val="3"/>
        <w:bidi w:val="0"/>
        <w:rPr>
          <w:rFonts w:hint="default" w:ascii="Times New Roman" w:hAnsi="Times New Roman" w:cs="Times New Roman"/>
          <w:color w:val="auto"/>
          <w:lang w:val="en-US" w:eastAsia="zh-CN"/>
        </w:rPr>
      </w:pPr>
      <w:bookmarkStart w:id="27" w:name="_Toc19621"/>
      <w:r>
        <w:rPr>
          <w:rFonts w:hint="default" w:ascii="Times New Roman" w:hAnsi="Times New Roman" w:cs="Times New Roman"/>
          <w:color w:val="auto"/>
        </w:rPr>
        <w:t>3.6</w:t>
      </w:r>
      <w:r>
        <w:rPr>
          <w:rFonts w:hint="default" w:ascii="Times New Roman" w:hAnsi="Times New Roman" w:cs="Times New Roman"/>
          <w:color w:val="auto"/>
          <w:lang w:val="en-US" w:eastAsia="zh-CN"/>
        </w:rPr>
        <w:t>项目变动情况</w:t>
      </w:r>
      <w:bookmarkEnd w:id="27"/>
    </w:p>
    <w:p w14:paraId="46704B1B">
      <w:pPr>
        <w:rPr>
          <w:rFonts w:hint="default"/>
          <w:color w:val="auto"/>
          <w:lang w:val="en-US" w:eastAsia="zh-CN"/>
        </w:rPr>
      </w:pPr>
      <w:r>
        <w:rPr>
          <w:rFonts w:ascii="宋体" w:hAnsi="宋体" w:eastAsia="宋体" w:cs="宋体"/>
          <w:color w:val="auto"/>
          <w:sz w:val="24"/>
          <w:szCs w:val="24"/>
        </w:rPr>
        <w:t>结合项目环评资料及实际建设情况，项目的主要</w:t>
      </w:r>
      <w:r>
        <w:rPr>
          <w:rFonts w:ascii="宋体" w:hAnsi="宋体" w:eastAsia="宋体" w:cs="宋体"/>
          <w:color w:val="auto"/>
          <w:spacing w:val="-1"/>
          <w:sz w:val="24"/>
          <w:szCs w:val="24"/>
        </w:rPr>
        <w:t>变化情况见下表，均不属于重大变动。</w:t>
      </w:r>
    </w:p>
    <w:p w14:paraId="29E5A0EA">
      <w:pPr>
        <w:rPr>
          <w:rFonts w:hint="default"/>
          <w:color w:val="auto"/>
          <w:lang w:val="en-US" w:eastAsia="zh-CN"/>
        </w:rPr>
        <w:sectPr>
          <w:headerReference r:id="rId12" w:type="default"/>
          <w:footerReference r:id="rId13" w:type="default"/>
          <w:pgSz w:w="11907" w:h="16839"/>
          <w:pgMar w:top="1701" w:right="1417" w:bottom="1701" w:left="1701" w:header="1078" w:footer="992" w:gutter="0"/>
          <w:pgNumType w:fmt="decimal"/>
          <w:cols w:space="720" w:num="1"/>
        </w:sectPr>
      </w:pPr>
    </w:p>
    <w:p w14:paraId="12DA0772">
      <w:pPr>
        <w:pStyle w:val="21"/>
        <w:bidi w:val="0"/>
        <w:rPr>
          <w:color w:val="auto"/>
        </w:rPr>
      </w:pPr>
      <w:r>
        <w:rPr>
          <w:color w:val="auto"/>
        </w:rPr>
        <w:t>表 3.6-1  项目变动情况分析一览表</w:t>
      </w:r>
    </w:p>
    <w:tbl>
      <w:tblPr>
        <w:tblStyle w:val="20"/>
        <w:tblW w:w="14173" w:type="dxa"/>
        <w:jc w:val="center"/>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Layout w:type="fixed"/>
        <w:tblCellMar>
          <w:top w:w="0" w:type="dxa"/>
          <w:left w:w="0" w:type="dxa"/>
          <w:bottom w:w="0" w:type="dxa"/>
          <w:right w:w="0" w:type="dxa"/>
        </w:tblCellMar>
      </w:tblPr>
      <w:tblGrid>
        <w:gridCol w:w="868"/>
        <w:gridCol w:w="3266"/>
        <w:gridCol w:w="3245"/>
        <w:gridCol w:w="3104"/>
        <w:gridCol w:w="2647"/>
        <w:gridCol w:w="1043"/>
      </w:tblGrid>
      <w:tr w14:paraId="6D91ED08">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tcBorders>
              <w:top w:val="single" w:color="000000" w:sz="10" w:space="0"/>
              <w:left w:val="nil"/>
            </w:tcBorders>
            <w:noWrap w:val="0"/>
            <w:vAlign w:val="center"/>
          </w:tcPr>
          <w:p w14:paraId="5F55A83B">
            <w:pPr>
              <w:pStyle w:val="23"/>
              <w:bidi w:val="0"/>
              <w:jc w:val="center"/>
              <w:rPr>
                <w:color w:val="auto"/>
              </w:rPr>
            </w:pPr>
            <w:r>
              <w:rPr>
                <w:color w:val="auto"/>
              </w:rPr>
              <w:t>变动内容</w:t>
            </w:r>
          </w:p>
        </w:tc>
        <w:tc>
          <w:tcPr>
            <w:tcW w:w="3266" w:type="dxa"/>
            <w:tcBorders>
              <w:top w:val="single" w:color="000000" w:sz="10" w:space="0"/>
            </w:tcBorders>
            <w:noWrap w:val="0"/>
            <w:vAlign w:val="center"/>
          </w:tcPr>
          <w:p w14:paraId="00E143C8">
            <w:pPr>
              <w:pStyle w:val="23"/>
              <w:bidi w:val="0"/>
              <w:jc w:val="center"/>
              <w:rPr>
                <w:color w:val="auto"/>
              </w:rPr>
            </w:pPr>
            <w:r>
              <w:rPr>
                <w:color w:val="auto"/>
              </w:rPr>
              <w:t>判定条件</w:t>
            </w:r>
          </w:p>
        </w:tc>
        <w:tc>
          <w:tcPr>
            <w:tcW w:w="3245" w:type="dxa"/>
            <w:tcBorders>
              <w:top w:val="single" w:color="000000" w:sz="10" w:space="0"/>
            </w:tcBorders>
            <w:noWrap w:val="0"/>
            <w:vAlign w:val="center"/>
          </w:tcPr>
          <w:p w14:paraId="6B959A67">
            <w:pPr>
              <w:pStyle w:val="23"/>
              <w:bidi w:val="0"/>
              <w:jc w:val="center"/>
              <w:rPr>
                <w:color w:val="auto"/>
              </w:rPr>
            </w:pPr>
            <w:r>
              <w:rPr>
                <w:color w:val="auto"/>
              </w:rPr>
              <w:t>环评及批复建设情况</w:t>
            </w:r>
          </w:p>
        </w:tc>
        <w:tc>
          <w:tcPr>
            <w:tcW w:w="3104" w:type="dxa"/>
            <w:tcBorders>
              <w:top w:val="single" w:color="000000" w:sz="10" w:space="0"/>
            </w:tcBorders>
            <w:noWrap w:val="0"/>
            <w:vAlign w:val="center"/>
          </w:tcPr>
          <w:p w14:paraId="167A72C6">
            <w:pPr>
              <w:pStyle w:val="23"/>
              <w:bidi w:val="0"/>
              <w:jc w:val="center"/>
              <w:rPr>
                <w:color w:val="auto"/>
              </w:rPr>
            </w:pPr>
            <w:r>
              <w:rPr>
                <w:color w:val="auto"/>
              </w:rPr>
              <w:t>实际建设情况</w:t>
            </w:r>
          </w:p>
        </w:tc>
        <w:tc>
          <w:tcPr>
            <w:tcW w:w="2647" w:type="dxa"/>
            <w:tcBorders>
              <w:top w:val="single" w:color="000000" w:sz="10" w:space="0"/>
            </w:tcBorders>
            <w:noWrap w:val="0"/>
            <w:vAlign w:val="center"/>
          </w:tcPr>
          <w:p w14:paraId="6FB0A84D">
            <w:pPr>
              <w:pStyle w:val="23"/>
              <w:bidi w:val="0"/>
              <w:jc w:val="center"/>
              <w:rPr>
                <w:color w:val="auto"/>
              </w:rPr>
            </w:pPr>
            <w:r>
              <w:rPr>
                <w:color w:val="auto"/>
              </w:rPr>
              <w:t>变动内容</w:t>
            </w:r>
          </w:p>
        </w:tc>
        <w:tc>
          <w:tcPr>
            <w:tcW w:w="1043" w:type="dxa"/>
            <w:tcBorders>
              <w:top w:val="single" w:color="000000" w:sz="10" w:space="0"/>
              <w:right w:val="nil"/>
            </w:tcBorders>
            <w:noWrap w:val="0"/>
            <w:vAlign w:val="center"/>
          </w:tcPr>
          <w:p w14:paraId="7BB31A82">
            <w:pPr>
              <w:pStyle w:val="23"/>
              <w:bidi w:val="0"/>
              <w:jc w:val="center"/>
              <w:rPr>
                <w:color w:val="auto"/>
              </w:rPr>
            </w:pPr>
            <w:r>
              <w:rPr>
                <w:color w:val="auto"/>
              </w:rPr>
              <w:t>是否为重大变动</w:t>
            </w:r>
          </w:p>
        </w:tc>
      </w:tr>
      <w:tr w14:paraId="5A41498E">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tcBorders>
              <w:left w:val="nil"/>
            </w:tcBorders>
            <w:noWrap w:val="0"/>
            <w:vAlign w:val="center"/>
          </w:tcPr>
          <w:p w14:paraId="7C21D852">
            <w:pPr>
              <w:pStyle w:val="23"/>
              <w:bidi w:val="0"/>
              <w:jc w:val="center"/>
              <w:rPr>
                <w:color w:val="auto"/>
              </w:rPr>
            </w:pPr>
            <w:r>
              <w:rPr>
                <w:color w:val="auto"/>
              </w:rPr>
              <w:t>性质</w:t>
            </w:r>
          </w:p>
        </w:tc>
        <w:tc>
          <w:tcPr>
            <w:tcW w:w="3266" w:type="dxa"/>
            <w:noWrap w:val="0"/>
            <w:vAlign w:val="center"/>
          </w:tcPr>
          <w:p w14:paraId="07E1C0E2">
            <w:pPr>
              <w:pStyle w:val="23"/>
              <w:bidi w:val="0"/>
              <w:jc w:val="left"/>
              <w:rPr>
                <w:color w:val="auto"/>
              </w:rPr>
            </w:pPr>
            <w:r>
              <w:rPr>
                <w:color w:val="auto"/>
              </w:rPr>
              <w:t>1.建设项目开发、使用功能发生变化的</w:t>
            </w:r>
          </w:p>
        </w:tc>
        <w:tc>
          <w:tcPr>
            <w:tcW w:w="3245" w:type="dxa"/>
            <w:noWrap w:val="0"/>
            <w:vAlign w:val="center"/>
          </w:tcPr>
          <w:p w14:paraId="6CBA4E38">
            <w:pPr>
              <w:pStyle w:val="23"/>
              <w:bidi w:val="0"/>
              <w:jc w:val="center"/>
              <w:rPr>
                <w:rFonts w:hint="eastAsia" w:eastAsia="宋体"/>
                <w:color w:val="auto"/>
                <w:lang w:eastAsia="zh-CN"/>
              </w:rPr>
            </w:pPr>
            <w:r>
              <w:rPr>
                <w:rFonts w:hint="eastAsia"/>
                <w:color w:val="auto"/>
                <w:lang w:val="en-US" w:eastAsia="zh-CN"/>
              </w:rPr>
              <w:t>扩建</w:t>
            </w:r>
          </w:p>
        </w:tc>
        <w:tc>
          <w:tcPr>
            <w:tcW w:w="3104" w:type="dxa"/>
            <w:noWrap w:val="0"/>
            <w:vAlign w:val="center"/>
          </w:tcPr>
          <w:p w14:paraId="228D4630">
            <w:pPr>
              <w:pStyle w:val="23"/>
              <w:bidi w:val="0"/>
              <w:jc w:val="center"/>
              <w:rPr>
                <w:rFonts w:hint="eastAsia" w:eastAsia="宋体"/>
                <w:color w:val="auto"/>
                <w:lang w:eastAsia="zh-CN"/>
              </w:rPr>
            </w:pPr>
            <w:r>
              <w:rPr>
                <w:rFonts w:hint="eastAsia"/>
                <w:color w:val="auto"/>
                <w:lang w:val="en-US" w:eastAsia="zh-CN"/>
              </w:rPr>
              <w:t>扩建</w:t>
            </w:r>
          </w:p>
        </w:tc>
        <w:tc>
          <w:tcPr>
            <w:tcW w:w="2647" w:type="dxa"/>
            <w:noWrap w:val="0"/>
            <w:vAlign w:val="center"/>
          </w:tcPr>
          <w:p w14:paraId="592ECE84">
            <w:pPr>
              <w:pStyle w:val="23"/>
              <w:bidi w:val="0"/>
              <w:jc w:val="left"/>
              <w:rPr>
                <w:color w:val="auto"/>
              </w:rPr>
            </w:pPr>
            <w:r>
              <w:rPr>
                <w:color w:val="auto"/>
              </w:rPr>
              <w:t>建设项目开发、使用功能未发生变化</w:t>
            </w:r>
          </w:p>
        </w:tc>
        <w:tc>
          <w:tcPr>
            <w:tcW w:w="1043" w:type="dxa"/>
            <w:tcBorders>
              <w:right w:val="nil"/>
            </w:tcBorders>
            <w:noWrap w:val="0"/>
            <w:vAlign w:val="center"/>
          </w:tcPr>
          <w:p w14:paraId="1EA0636F">
            <w:pPr>
              <w:pStyle w:val="23"/>
              <w:bidi w:val="0"/>
              <w:jc w:val="center"/>
              <w:rPr>
                <w:color w:val="auto"/>
              </w:rPr>
            </w:pPr>
            <w:r>
              <w:rPr>
                <w:color w:val="auto"/>
              </w:rPr>
              <w:t>否</w:t>
            </w:r>
          </w:p>
        </w:tc>
      </w:tr>
      <w:tr w14:paraId="25DC1AB4">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restart"/>
            <w:tcBorders>
              <w:left w:val="nil"/>
            </w:tcBorders>
            <w:noWrap w:val="0"/>
            <w:vAlign w:val="center"/>
          </w:tcPr>
          <w:p w14:paraId="28AD643B">
            <w:pPr>
              <w:pStyle w:val="23"/>
              <w:bidi w:val="0"/>
              <w:jc w:val="center"/>
              <w:rPr>
                <w:color w:val="auto"/>
              </w:rPr>
            </w:pPr>
            <w:r>
              <w:rPr>
                <w:color w:val="auto"/>
              </w:rPr>
              <w:t>规模</w:t>
            </w:r>
          </w:p>
        </w:tc>
        <w:tc>
          <w:tcPr>
            <w:tcW w:w="3266" w:type="dxa"/>
            <w:noWrap w:val="0"/>
            <w:vAlign w:val="center"/>
          </w:tcPr>
          <w:p w14:paraId="18E20216">
            <w:pPr>
              <w:pStyle w:val="23"/>
              <w:bidi w:val="0"/>
              <w:jc w:val="left"/>
              <w:rPr>
                <w:color w:val="auto"/>
              </w:rPr>
            </w:pPr>
            <w:r>
              <w:rPr>
                <w:color w:val="auto"/>
              </w:rPr>
              <w:t>2.生产、处置或储存能力增大30%及以上的</w:t>
            </w:r>
          </w:p>
        </w:tc>
        <w:tc>
          <w:tcPr>
            <w:tcW w:w="3245" w:type="dxa"/>
            <w:noWrap w:val="0"/>
            <w:vAlign w:val="center"/>
          </w:tcPr>
          <w:p w14:paraId="62E6E484">
            <w:pPr>
              <w:pStyle w:val="23"/>
              <w:bidi w:val="0"/>
              <w:ind w:firstLine="0" w:firstLineChars="0"/>
              <w:jc w:val="left"/>
              <w:rPr>
                <w:color w:val="auto"/>
              </w:rPr>
            </w:pPr>
            <w:r>
              <w:rPr>
                <w:rFonts w:hint="default" w:ascii="Times New Roman" w:hAnsi="Times New Roman" w:cs="Times New Roman"/>
                <w:color w:val="auto"/>
              </w:rPr>
              <w:t>不新增用地，在现有厂区的2#厂房内新增1条处理能力达100t/d的飞灰稳定化预处理生产线，同时完善相应配套设施建设，以及对1#飞灰预处理厂房内现有两条处理能力50t/d备用生产线进行改造升级。年处理垃圾焚烧飞灰总能力达到</w:t>
            </w:r>
            <w:r>
              <w:rPr>
                <w:rFonts w:hint="default" w:ascii="Times New Roman" w:hAnsi="Times New Roman" w:cs="Times New Roman"/>
                <w:color w:val="auto"/>
                <w:lang w:val="en-US" w:eastAsia="zh-CN"/>
              </w:rPr>
              <w:t>6.6</w:t>
            </w:r>
            <w:r>
              <w:rPr>
                <w:rFonts w:hint="default" w:ascii="Times New Roman" w:hAnsi="Times New Roman" w:cs="Times New Roman"/>
                <w:color w:val="auto"/>
              </w:rPr>
              <w:t>万吨。</w:t>
            </w:r>
          </w:p>
        </w:tc>
        <w:tc>
          <w:tcPr>
            <w:tcW w:w="3104" w:type="dxa"/>
            <w:noWrap w:val="0"/>
            <w:vAlign w:val="center"/>
          </w:tcPr>
          <w:p w14:paraId="3C16625E">
            <w:pPr>
              <w:pStyle w:val="23"/>
              <w:bidi w:val="0"/>
              <w:ind w:firstLine="0" w:firstLineChars="0"/>
              <w:jc w:val="left"/>
              <w:rPr>
                <w:color w:val="auto"/>
              </w:rPr>
            </w:pPr>
            <w:r>
              <w:rPr>
                <w:rFonts w:hint="default" w:ascii="Times New Roman" w:hAnsi="Times New Roman" w:cs="Times New Roman"/>
                <w:color w:val="auto"/>
                <w:highlight w:val="none"/>
              </w:rPr>
              <w:t>不新增用地，在现有厂区的2#厂房内新增1条处理能力达100t/d的飞灰稳定化预处理生产线，同时完善相应配套设施建设。年处理垃圾焚烧飞灰总能力达到</w:t>
            </w:r>
            <w:r>
              <w:rPr>
                <w:rFonts w:hint="default" w:ascii="Times New Roman" w:hAnsi="Times New Roman" w:cs="Times New Roman"/>
                <w:color w:val="auto"/>
                <w:highlight w:val="none"/>
                <w:lang w:val="en-US" w:eastAsia="zh-CN"/>
              </w:rPr>
              <w:t>6.6</w:t>
            </w:r>
            <w:r>
              <w:rPr>
                <w:rFonts w:hint="default" w:ascii="Times New Roman" w:hAnsi="Times New Roman" w:cs="Times New Roman"/>
                <w:color w:val="auto"/>
                <w:highlight w:val="none"/>
              </w:rPr>
              <w:t>万吨。</w:t>
            </w:r>
          </w:p>
        </w:tc>
        <w:tc>
          <w:tcPr>
            <w:tcW w:w="2647" w:type="dxa"/>
            <w:noWrap w:val="0"/>
            <w:vAlign w:val="center"/>
          </w:tcPr>
          <w:p w14:paraId="3FED431D">
            <w:pPr>
              <w:pStyle w:val="23"/>
              <w:bidi w:val="0"/>
              <w:jc w:val="left"/>
              <w:rPr>
                <w:color w:val="auto"/>
              </w:rPr>
            </w:pPr>
            <w:r>
              <w:rPr>
                <w:color w:val="auto"/>
              </w:rPr>
              <w:t>生产、处置或储存能力未增大</w:t>
            </w:r>
          </w:p>
        </w:tc>
        <w:tc>
          <w:tcPr>
            <w:tcW w:w="1043" w:type="dxa"/>
            <w:tcBorders>
              <w:right w:val="nil"/>
            </w:tcBorders>
            <w:noWrap w:val="0"/>
            <w:vAlign w:val="center"/>
          </w:tcPr>
          <w:p w14:paraId="6B2A013F">
            <w:pPr>
              <w:pStyle w:val="23"/>
              <w:bidi w:val="0"/>
              <w:jc w:val="center"/>
              <w:rPr>
                <w:color w:val="auto"/>
              </w:rPr>
            </w:pPr>
            <w:r>
              <w:rPr>
                <w:color w:val="auto"/>
              </w:rPr>
              <w:t>否</w:t>
            </w:r>
          </w:p>
        </w:tc>
      </w:tr>
      <w:tr w14:paraId="27958B51">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continue"/>
            <w:tcBorders>
              <w:left w:val="nil"/>
            </w:tcBorders>
            <w:noWrap w:val="0"/>
            <w:vAlign w:val="center"/>
          </w:tcPr>
          <w:p w14:paraId="4A51291D">
            <w:pPr>
              <w:pStyle w:val="23"/>
              <w:bidi w:val="0"/>
              <w:jc w:val="center"/>
              <w:rPr>
                <w:color w:val="auto"/>
              </w:rPr>
            </w:pPr>
          </w:p>
        </w:tc>
        <w:tc>
          <w:tcPr>
            <w:tcW w:w="3266" w:type="dxa"/>
            <w:noWrap w:val="0"/>
            <w:vAlign w:val="center"/>
          </w:tcPr>
          <w:p w14:paraId="725F3671">
            <w:pPr>
              <w:pStyle w:val="23"/>
              <w:bidi w:val="0"/>
              <w:jc w:val="left"/>
              <w:rPr>
                <w:color w:val="auto"/>
              </w:rPr>
            </w:pPr>
            <w:r>
              <w:rPr>
                <w:color w:val="auto"/>
              </w:rPr>
              <w:t>3.生产、处置或储存能力增大，导致废水第一类污染物排放量增加的</w:t>
            </w:r>
          </w:p>
        </w:tc>
        <w:tc>
          <w:tcPr>
            <w:tcW w:w="3245" w:type="dxa"/>
            <w:noWrap w:val="0"/>
            <w:vAlign w:val="center"/>
          </w:tcPr>
          <w:p w14:paraId="59D383C0">
            <w:pPr>
              <w:pStyle w:val="23"/>
              <w:bidi w:val="0"/>
              <w:jc w:val="center"/>
              <w:rPr>
                <w:color w:val="auto"/>
              </w:rPr>
            </w:pPr>
            <w:r>
              <w:rPr>
                <w:color w:val="auto"/>
              </w:rPr>
              <w:t>/</w:t>
            </w:r>
          </w:p>
        </w:tc>
        <w:tc>
          <w:tcPr>
            <w:tcW w:w="3104" w:type="dxa"/>
            <w:noWrap w:val="0"/>
            <w:vAlign w:val="center"/>
          </w:tcPr>
          <w:p w14:paraId="2CF1AFF9">
            <w:pPr>
              <w:pStyle w:val="23"/>
              <w:bidi w:val="0"/>
              <w:jc w:val="center"/>
              <w:rPr>
                <w:color w:val="auto"/>
              </w:rPr>
            </w:pPr>
            <w:r>
              <w:rPr>
                <w:color w:val="auto"/>
              </w:rPr>
              <w:t>/</w:t>
            </w:r>
          </w:p>
        </w:tc>
        <w:tc>
          <w:tcPr>
            <w:tcW w:w="2647" w:type="dxa"/>
            <w:noWrap w:val="0"/>
            <w:vAlign w:val="center"/>
          </w:tcPr>
          <w:p w14:paraId="0AADEC23">
            <w:pPr>
              <w:pStyle w:val="23"/>
              <w:bidi w:val="0"/>
              <w:jc w:val="left"/>
              <w:rPr>
                <w:color w:val="auto"/>
              </w:rPr>
            </w:pPr>
            <w:r>
              <w:rPr>
                <w:color w:val="auto"/>
              </w:rPr>
              <w:t>生产能力未增加，储存能力未增大，未导致废水第一类污染物排放量增加</w:t>
            </w:r>
          </w:p>
        </w:tc>
        <w:tc>
          <w:tcPr>
            <w:tcW w:w="1043" w:type="dxa"/>
            <w:tcBorders>
              <w:right w:val="nil"/>
            </w:tcBorders>
            <w:noWrap w:val="0"/>
            <w:vAlign w:val="center"/>
          </w:tcPr>
          <w:p w14:paraId="0489D7E5">
            <w:pPr>
              <w:pStyle w:val="23"/>
              <w:bidi w:val="0"/>
              <w:jc w:val="center"/>
              <w:rPr>
                <w:color w:val="auto"/>
              </w:rPr>
            </w:pPr>
            <w:r>
              <w:rPr>
                <w:color w:val="auto"/>
              </w:rPr>
              <w:t>否</w:t>
            </w:r>
          </w:p>
        </w:tc>
      </w:tr>
      <w:tr w14:paraId="7CA2AA30">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continue"/>
            <w:tcBorders>
              <w:left w:val="nil"/>
            </w:tcBorders>
            <w:noWrap w:val="0"/>
            <w:vAlign w:val="center"/>
          </w:tcPr>
          <w:p w14:paraId="1A3AD8C3">
            <w:pPr>
              <w:pStyle w:val="23"/>
              <w:bidi w:val="0"/>
              <w:jc w:val="center"/>
              <w:rPr>
                <w:color w:val="auto"/>
              </w:rPr>
            </w:pPr>
          </w:p>
        </w:tc>
        <w:tc>
          <w:tcPr>
            <w:tcW w:w="3266" w:type="dxa"/>
            <w:noWrap w:val="0"/>
            <w:vAlign w:val="center"/>
          </w:tcPr>
          <w:p w14:paraId="3A33D936">
            <w:pPr>
              <w:pStyle w:val="23"/>
              <w:bidi w:val="0"/>
              <w:jc w:val="left"/>
              <w:rPr>
                <w:color w:val="auto"/>
              </w:rPr>
            </w:pPr>
            <w:r>
              <w:rPr>
                <w:color w:val="auto"/>
              </w:rPr>
              <w:t>4.</w:t>
            </w:r>
            <w:r>
              <w:rPr>
                <w:color w:val="auto"/>
              </w:rPr>
              <w:t>位于环境质量不达标区</w:t>
            </w:r>
            <w:r>
              <w:rPr>
                <w:color w:val="auto"/>
              </w:rPr>
              <w:t>的建设项目生产、处置或储存能力增大，导致相应污染物排放量增加的（细颗粒物不达标区，相应污染物为二氧化硫、氮氧化物、可吸入颗粒物、挥发性有机物；臭氧</w:t>
            </w:r>
            <w:r>
              <w:rPr>
                <w:color w:val="auto"/>
                <w:spacing w:val="17"/>
              </w:rPr>
              <w:t>不达标区，相应污染物为氮氧化物、挥发性有机物；其他大气、水污染物因子不达标区，相应污染物为超标污</w:t>
            </w:r>
            <w:r>
              <w:rPr>
                <w:color w:val="auto"/>
                <w:spacing w:val="15"/>
              </w:rPr>
              <w:t>染因子</w:t>
            </w:r>
            <w:r>
              <w:rPr>
                <w:color w:val="auto"/>
              </w:rPr>
              <w:t>）；</w:t>
            </w:r>
            <w:r>
              <w:rPr>
                <w:color w:val="auto"/>
                <w:spacing w:val="15"/>
              </w:rPr>
              <w:t>位于达标区</w:t>
            </w:r>
            <w:r>
              <w:rPr>
                <w:color w:val="auto"/>
                <w:spacing w:val="15"/>
              </w:rPr>
              <w:t>的建</w:t>
            </w:r>
            <w:r>
              <w:rPr>
                <w:color w:val="auto"/>
                <w:spacing w:val="17"/>
              </w:rPr>
              <w:t>设项目生产、处置或储存能力增大，导致污染物排放量</w:t>
            </w:r>
            <w:r>
              <w:rPr>
                <w:color w:val="auto"/>
                <w:spacing w:val="4"/>
              </w:rPr>
              <w:t>增加</w:t>
            </w:r>
            <w:r>
              <w:rPr>
                <w:rFonts w:ascii="Times New Roman" w:hAnsi="Times New Roman" w:eastAsia="Times New Roman" w:cs="Times New Roman"/>
                <w:color w:val="auto"/>
                <w:spacing w:val="4"/>
              </w:rPr>
              <w:t>10%</w:t>
            </w:r>
            <w:r>
              <w:rPr>
                <w:color w:val="auto"/>
                <w:spacing w:val="4"/>
              </w:rPr>
              <w:t>及以上的。</w:t>
            </w:r>
          </w:p>
        </w:tc>
        <w:tc>
          <w:tcPr>
            <w:tcW w:w="3245" w:type="dxa"/>
            <w:noWrap w:val="0"/>
            <w:vAlign w:val="center"/>
          </w:tcPr>
          <w:p w14:paraId="052D72DD">
            <w:pPr>
              <w:pStyle w:val="23"/>
              <w:bidi w:val="0"/>
              <w:jc w:val="center"/>
              <w:rPr>
                <w:color w:val="auto"/>
              </w:rPr>
            </w:pPr>
            <w:r>
              <w:rPr>
                <w:color w:val="auto"/>
              </w:rPr>
              <w:t>/</w:t>
            </w:r>
          </w:p>
        </w:tc>
        <w:tc>
          <w:tcPr>
            <w:tcW w:w="3104" w:type="dxa"/>
            <w:noWrap w:val="0"/>
            <w:vAlign w:val="center"/>
          </w:tcPr>
          <w:p w14:paraId="5C9C5B52">
            <w:pPr>
              <w:pStyle w:val="23"/>
              <w:bidi w:val="0"/>
              <w:jc w:val="center"/>
              <w:rPr>
                <w:color w:val="auto"/>
              </w:rPr>
            </w:pPr>
            <w:r>
              <w:rPr>
                <w:color w:val="auto"/>
              </w:rPr>
              <w:t>/</w:t>
            </w:r>
          </w:p>
        </w:tc>
        <w:tc>
          <w:tcPr>
            <w:tcW w:w="2647" w:type="dxa"/>
            <w:noWrap w:val="0"/>
            <w:vAlign w:val="center"/>
          </w:tcPr>
          <w:p w14:paraId="058396D9">
            <w:pPr>
              <w:pStyle w:val="23"/>
              <w:bidi w:val="0"/>
              <w:jc w:val="left"/>
              <w:rPr>
                <w:color w:val="auto"/>
              </w:rPr>
            </w:pPr>
            <w:r>
              <w:rPr>
                <w:color w:val="auto"/>
              </w:rPr>
              <w:t>项目不位于环境质量不达标区。建设项目无生产能力增加，无储存能力增大，未导致相应污染物排放量增加10%及以上</w:t>
            </w:r>
          </w:p>
        </w:tc>
        <w:tc>
          <w:tcPr>
            <w:tcW w:w="1043" w:type="dxa"/>
            <w:tcBorders>
              <w:right w:val="nil"/>
            </w:tcBorders>
            <w:noWrap w:val="0"/>
            <w:vAlign w:val="center"/>
          </w:tcPr>
          <w:p w14:paraId="71FA2C6B">
            <w:pPr>
              <w:pStyle w:val="23"/>
              <w:bidi w:val="0"/>
              <w:jc w:val="center"/>
              <w:rPr>
                <w:color w:val="auto"/>
              </w:rPr>
            </w:pPr>
            <w:r>
              <w:rPr>
                <w:color w:val="auto"/>
              </w:rPr>
              <w:t>否</w:t>
            </w:r>
          </w:p>
        </w:tc>
      </w:tr>
      <w:tr w14:paraId="5688CE7E">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tcBorders>
              <w:left w:val="nil"/>
            </w:tcBorders>
            <w:shd w:val="clear" w:color="auto" w:fill="auto"/>
            <w:noWrap w:val="0"/>
            <w:vAlign w:val="center"/>
          </w:tcPr>
          <w:p w14:paraId="49C10BC7">
            <w:pPr>
              <w:pStyle w:val="23"/>
              <w:bidi w:val="0"/>
              <w:jc w:val="center"/>
              <w:rPr>
                <w:color w:val="auto"/>
                <w:lang w:val="en-US" w:eastAsia="en-US"/>
              </w:rPr>
            </w:pPr>
            <w:r>
              <w:rPr>
                <w:color w:val="auto"/>
              </w:rPr>
              <w:t>地点</w:t>
            </w:r>
          </w:p>
        </w:tc>
        <w:tc>
          <w:tcPr>
            <w:tcW w:w="3266" w:type="dxa"/>
            <w:shd w:val="clear" w:color="auto" w:fill="auto"/>
            <w:noWrap w:val="0"/>
            <w:vAlign w:val="center"/>
          </w:tcPr>
          <w:p w14:paraId="246E9039">
            <w:pPr>
              <w:pStyle w:val="23"/>
              <w:bidi w:val="0"/>
              <w:jc w:val="left"/>
              <w:rPr>
                <w:color w:val="auto"/>
                <w:lang w:val="en-US" w:eastAsia="en-US"/>
              </w:rPr>
            </w:pPr>
            <w:r>
              <w:rPr>
                <w:color w:val="auto"/>
              </w:rPr>
              <w:t>5.重新选址；在原厂址附近调整（包括总平面布置变化）导致环境防护距离范围变化且新增敏感点的。</w:t>
            </w:r>
          </w:p>
        </w:tc>
        <w:tc>
          <w:tcPr>
            <w:tcW w:w="3245" w:type="dxa"/>
            <w:noWrap w:val="0"/>
            <w:vAlign w:val="center"/>
          </w:tcPr>
          <w:p w14:paraId="3FDDF397">
            <w:pPr>
              <w:pStyle w:val="23"/>
              <w:bidi w:val="0"/>
              <w:jc w:val="center"/>
              <w:rPr>
                <w:rFonts w:hint="eastAsia" w:eastAsia="宋体"/>
                <w:color w:val="auto"/>
                <w:lang w:val="en-US" w:eastAsia="zh-CN"/>
              </w:rPr>
            </w:pPr>
            <w:r>
              <w:rPr>
                <w:rFonts w:hint="eastAsia"/>
                <w:color w:val="auto"/>
                <w:lang w:val="en-US" w:eastAsia="zh-CN"/>
              </w:rPr>
              <w:t>/</w:t>
            </w:r>
          </w:p>
        </w:tc>
        <w:tc>
          <w:tcPr>
            <w:tcW w:w="3104" w:type="dxa"/>
            <w:noWrap w:val="0"/>
            <w:vAlign w:val="center"/>
          </w:tcPr>
          <w:p w14:paraId="24DEFC0A">
            <w:pPr>
              <w:pStyle w:val="23"/>
              <w:bidi w:val="0"/>
              <w:jc w:val="center"/>
              <w:rPr>
                <w:rFonts w:hint="eastAsia" w:eastAsia="宋体"/>
                <w:color w:val="auto"/>
                <w:lang w:val="en-US" w:eastAsia="zh-CN"/>
              </w:rPr>
            </w:pPr>
            <w:r>
              <w:rPr>
                <w:rFonts w:hint="eastAsia"/>
                <w:color w:val="auto"/>
                <w:lang w:val="en-US" w:eastAsia="zh-CN"/>
              </w:rPr>
              <w:t>/</w:t>
            </w:r>
          </w:p>
        </w:tc>
        <w:tc>
          <w:tcPr>
            <w:tcW w:w="2647" w:type="dxa"/>
            <w:noWrap w:val="0"/>
            <w:vAlign w:val="center"/>
          </w:tcPr>
          <w:p w14:paraId="03C3C2E0">
            <w:pPr>
              <w:pStyle w:val="23"/>
              <w:bidi w:val="0"/>
              <w:jc w:val="left"/>
              <w:rPr>
                <w:color w:val="auto"/>
              </w:rPr>
            </w:pPr>
            <w:r>
              <w:rPr>
                <w:color w:val="auto"/>
              </w:rPr>
              <w:t>项目未进行重新选址；未在原厂址附近调整（包括总平面布置变化）</w:t>
            </w:r>
            <w:r>
              <w:rPr>
                <w:rFonts w:hint="eastAsia"/>
                <w:color w:val="auto"/>
                <w:lang w:eastAsia="zh-CN"/>
              </w:rPr>
              <w:t>，</w:t>
            </w:r>
            <w:r>
              <w:rPr>
                <w:color w:val="auto"/>
              </w:rPr>
              <w:t>未导致环境防护距离范围变化</w:t>
            </w:r>
            <w:r>
              <w:rPr>
                <w:rFonts w:hint="eastAsia"/>
                <w:color w:val="auto"/>
                <w:lang w:eastAsia="zh-CN"/>
              </w:rPr>
              <w:t>，</w:t>
            </w:r>
            <w:r>
              <w:rPr>
                <w:color w:val="auto"/>
              </w:rPr>
              <w:t>且未新增敏感点</w:t>
            </w:r>
          </w:p>
        </w:tc>
        <w:tc>
          <w:tcPr>
            <w:tcW w:w="1043" w:type="dxa"/>
            <w:tcBorders>
              <w:right w:val="nil"/>
            </w:tcBorders>
            <w:noWrap w:val="0"/>
            <w:vAlign w:val="center"/>
          </w:tcPr>
          <w:p w14:paraId="38395960">
            <w:pPr>
              <w:pStyle w:val="23"/>
              <w:bidi w:val="0"/>
              <w:jc w:val="center"/>
              <w:rPr>
                <w:color w:val="auto"/>
              </w:rPr>
            </w:pPr>
            <w:r>
              <w:rPr>
                <w:color w:val="auto"/>
              </w:rPr>
              <w:t>否</w:t>
            </w:r>
          </w:p>
        </w:tc>
      </w:tr>
      <w:tr w14:paraId="4AB37827">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restart"/>
            <w:tcBorders>
              <w:left w:val="nil"/>
            </w:tcBorders>
            <w:shd w:val="clear" w:color="auto" w:fill="auto"/>
            <w:noWrap w:val="0"/>
            <w:vAlign w:val="center"/>
          </w:tcPr>
          <w:p w14:paraId="69504A1B">
            <w:pPr>
              <w:pStyle w:val="23"/>
              <w:bidi w:val="0"/>
              <w:jc w:val="center"/>
              <w:rPr>
                <w:color w:val="auto"/>
              </w:rPr>
            </w:pPr>
            <w:r>
              <w:rPr>
                <w:color w:val="auto"/>
              </w:rPr>
              <w:t>生产工艺</w:t>
            </w:r>
          </w:p>
        </w:tc>
        <w:tc>
          <w:tcPr>
            <w:tcW w:w="3266" w:type="dxa"/>
            <w:shd w:val="clear" w:color="auto" w:fill="auto"/>
            <w:noWrap w:val="0"/>
            <w:vAlign w:val="center"/>
          </w:tcPr>
          <w:p w14:paraId="494D96BB">
            <w:pPr>
              <w:pStyle w:val="23"/>
              <w:bidi w:val="0"/>
              <w:jc w:val="left"/>
              <w:rPr>
                <w:color w:val="auto"/>
              </w:rPr>
            </w:pPr>
            <w:r>
              <w:rPr>
                <w:color w:val="auto"/>
              </w:rPr>
              <w:t>6.新增产品品种或生产工艺（含主要生产装置、设备及配套设施）、主要原辅材料、燃料变化，导致以下情形之一：</w:t>
            </w:r>
          </w:p>
          <w:p w14:paraId="235853CB">
            <w:pPr>
              <w:pStyle w:val="23"/>
              <w:bidi w:val="0"/>
              <w:jc w:val="left"/>
              <w:rPr>
                <w:color w:val="auto"/>
              </w:rPr>
            </w:pPr>
            <w:r>
              <w:rPr>
                <w:color w:val="auto"/>
              </w:rPr>
              <w:t>（1）新增排放污染物种类的（毒性、挥发性降低的除外）；</w:t>
            </w:r>
          </w:p>
          <w:p w14:paraId="3EB8C07B">
            <w:pPr>
              <w:pStyle w:val="23"/>
              <w:bidi w:val="0"/>
              <w:jc w:val="left"/>
              <w:rPr>
                <w:color w:val="auto"/>
              </w:rPr>
            </w:pPr>
            <w:r>
              <w:rPr>
                <w:color w:val="auto"/>
              </w:rPr>
              <w:t>（2）位于环境质量不达标区的建设项目相应污染物排放量增加的；</w:t>
            </w:r>
          </w:p>
          <w:p w14:paraId="0E3B9C54">
            <w:pPr>
              <w:pStyle w:val="23"/>
              <w:bidi w:val="0"/>
              <w:jc w:val="left"/>
              <w:rPr>
                <w:color w:val="auto"/>
              </w:rPr>
            </w:pPr>
            <w:r>
              <w:rPr>
                <w:color w:val="auto"/>
              </w:rPr>
              <w:t>（3）废水第一类污染物排放量增加的；</w:t>
            </w:r>
          </w:p>
          <w:p w14:paraId="1A352C5F">
            <w:pPr>
              <w:pStyle w:val="23"/>
              <w:bidi w:val="0"/>
              <w:jc w:val="left"/>
              <w:rPr>
                <w:color w:val="auto"/>
              </w:rPr>
            </w:pPr>
            <w:r>
              <w:rPr>
                <w:color w:val="auto"/>
              </w:rPr>
              <w:t>（4）其他污染物排放量增加10%及以上的。</w:t>
            </w:r>
          </w:p>
        </w:tc>
        <w:tc>
          <w:tcPr>
            <w:tcW w:w="3245" w:type="dxa"/>
            <w:noWrap w:val="0"/>
            <w:vAlign w:val="center"/>
          </w:tcPr>
          <w:p w14:paraId="48DE2C9B">
            <w:pPr>
              <w:pStyle w:val="23"/>
              <w:bidi w:val="0"/>
              <w:jc w:val="center"/>
              <w:rPr>
                <w:rFonts w:hint="default"/>
                <w:color w:val="auto"/>
                <w:lang w:val="en-US" w:eastAsia="zh-CN"/>
              </w:rPr>
            </w:pPr>
            <w:r>
              <w:rPr>
                <w:rFonts w:hint="eastAsia"/>
                <w:color w:val="auto"/>
                <w:lang w:val="en-US" w:eastAsia="zh-CN"/>
              </w:rPr>
              <w:t>/</w:t>
            </w:r>
          </w:p>
        </w:tc>
        <w:tc>
          <w:tcPr>
            <w:tcW w:w="3104" w:type="dxa"/>
            <w:noWrap w:val="0"/>
            <w:vAlign w:val="center"/>
          </w:tcPr>
          <w:p w14:paraId="0664D409">
            <w:pPr>
              <w:pStyle w:val="23"/>
              <w:bidi w:val="0"/>
              <w:jc w:val="center"/>
              <w:rPr>
                <w:rFonts w:hint="default"/>
                <w:color w:val="auto"/>
                <w:lang w:val="en-US" w:eastAsia="zh-CN"/>
              </w:rPr>
            </w:pPr>
            <w:r>
              <w:rPr>
                <w:rFonts w:hint="eastAsia"/>
                <w:color w:val="auto"/>
                <w:lang w:val="en-US" w:eastAsia="zh-CN"/>
              </w:rPr>
              <w:t>/</w:t>
            </w:r>
          </w:p>
        </w:tc>
        <w:tc>
          <w:tcPr>
            <w:tcW w:w="2647" w:type="dxa"/>
            <w:noWrap w:val="0"/>
            <w:vAlign w:val="center"/>
          </w:tcPr>
          <w:p w14:paraId="36A5F1A9">
            <w:pPr>
              <w:pStyle w:val="23"/>
              <w:bidi w:val="0"/>
              <w:jc w:val="left"/>
              <w:rPr>
                <w:color w:val="auto"/>
              </w:rPr>
            </w:pPr>
            <w:r>
              <w:rPr>
                <w:color w:val="auto"/>
              </w:rPr>
              <w:t>没有产品品种或生产工艺（含主要生产装置、设备及配套设施）、主要原辅材料、燃料变化</w:t>
            </w:r>
          </w:p>
        </w:tc>
        <w:tc>
          <w:tcPr>
            <w:tcW w:w="1043" w:type="dxa"/>
            <w:tcBorders>
              <w:right w:val="nil"/>
            </w:tcBorders>
            <w:noWrap w:val="0"/>
            <w:vAlign w:val="center"/>
          </w:tcPr>
          <w:p w14:paraId="3A63A91B">
            <w:pPr>
              <w:pStyle w:val="23"/>
              <w:bidi w:val="0"/>
              <w:jc w:val="center"/>
              <w:rPr>
                <w:rFonts w:hint="eastAsia" w:eastAsia="宋体"/>
                <w:color w:val="auto"/>
                <w:lang w:val="en-US" w:eastAsia="zh-CN"/>
              </w:rPr>
            </w:pPr>
            <w:r>
              <w:rPr>
                <w:rFonts w:hint="eastAsia"/>
                <w:color w:val="auto"/>
                <w:lang w:val="en-US" w:eastAsia="zh-CN"/>
              </w:rPr>
              <w:t>否</w:t>
            </w:r>
          </w:p>
        </w:tc>
      </w:tr>
      <w:tr w14:paraId="64256A42">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continue"/>
            <w:tcBorders>
              <w:left w:val="nil"/>
            </w:tcBorders>
            <w:shd w:val="clear" w:color="auto" w:fill="auto"/>
            <w:noWrap w:val="0"/>
            <w:vAlign w:val="center"/>
          </w:tcPr>
          <w:p w14:paraId="0732F505">
            <w:pPr>
              <w:pStyle w:val="23"/>
              <w:bidi w:val="0"/>
              <w:jc w:val="center"/>
              <w:rPr>
                <w:color w:val="auto"/>
              </w:rPr>
            </w:pPr>
          </w:p>
        </w:tc>
        <w:tc>
          <w:tcPr>
            <w:tcW w:w="3266" w:type="dxa"/>
            <w:shd w:val="clear" w:color="auto" w:fill="auto"/>
            <w:noWrap w:val="0"/>
            <w:vAlign w:val="center"/>
          </w:tcPr>
          <w:p w14:paraId="6EDE058E">
            <w:pPr>
              <w:pStyle w:val="23"/>
              <w:bidi w:val="0"/>
              <w:jc w:val="left"/>
              <w:rPr>
                <w:color w:val="auto"/>
              </w:rPr>
            </w:pPr>
            <w:r>
              <w:rPr>
                <w:color w:val="auto"/>
              </w:rPr>
              <w:t>7.物料运输、装卸、贮存方式变化，导致大气污染物无组织排放量增加10%及以上的。</w:t>
            </w:r>
          </w:p>
        </w:tc>
        <w:tc>
          <w:tcPr>
            <w:tcW w:w="3245" w:type="dxa"/>
            <w:noWrap w:val="0"/>
            <w:vAlign w:val="center"/>
          </w:tcPr>
          <w:p w14:paraId="4C4E85AD">
            <w:pPr>
              <w:pStyle w:val="23"/>
              <w:bidi w:val="0"/>
              <w:jc w:val="center"/>
              <w:rPr>
                <w:rFonts w:hint="default"/>
                <w:color w:val="auto"/>
                <w:lang w:val="en-US" w:eastAsia="zh-CN"/>
              </w:rPr>
            </w:pPr>
            <w:r>
              <w:rPr>
                <w:rFonts w:hint="eastAsia"/>
                <w:color w:val="auto"/>
                <w:lang w:val="en-US" w:eastAsia="zh-CN"/>
              </w:rPr>
              <w:t>/</w:t>
            </w:r>
          </w:p>
        </w:tc>
        <w:tc>
          <w:tcPr>
            <w:tcW w:w="3104" w:type="dxa"/>
            <w:noWrap w:val="0"/>
            <w:vAlign w:val="center"/>
          </w:tcPr>
          <w:p w14:paraId="15706F16">
            <w:pPr>
              <w:pStyle w:val="23"/>
              <w:bidi w:val="0"/>
              <w:jc w:val="center"/>
              <w:rPr>
                <w:rFonts w:hint="default"/>
                <w:color w:val="auto"/>
                <w:lang w:val="en-US" w:eastAsia="zh-CN"/>
              </w:rPr>
            </w:pPr>
            <w:r>
              <w:rPr>
                <w:rFonts w:hint="eastAsia"/>
                <w:color w:val="auto"/>
                <w:lang w:val="en-US" w:eastAsia="zh-CN"/>
              </w:rPr>
              <w:t>/</w:t>
            </w:r>
          </w:p>
        </w:tc>
        <w:tc>
          <w:tcPr>
            <w:tcW w:w="2647" w:type="dxa"/>
            <w:noWrap w:val="0"/>
            <w:vAlign w:val="center"/>
          </w:tcPr>
          <w:p w14:paraId="5187BFA5">
            <w:pPr>
              <w:pStyle w:val="23"/>
              <w:bidi w:val="0"/>
              <w:jc w:val="left"/>
              <w:rPr>
                <w:color w:val="auto"/>
              </w:rPr>
            </w:pPr>
            <w:r>
              <w:rPr>
                <w:color w:val="auto"/>
              </w:rPr>
              <w:t>物料运输、装卸、贮存方式未发生变化，未导</w:t>
            </w:r>
            <w:r>
              <w:rPr>
                <w:color w:val="auto"/>
                <w:spacing w:val="23"/>
              </w:rPr>
              <w:t>致大气污染物无组织</w:t>
            </w:r>
            <w:r>
              <w:rPr>
                <w:color w:val="auto"/>
                <w:spacing w:val="6"/>
              </w:rPr>
              <w:t>排放量</w:t>
            </w:r>
          </w:p>
        </w:tc>
        <w:tc>
          <w:tcPr>
            <w:tcW w:w="1043" w:type="dxa"/>
            <w:tcBorders>
              <w:right w:val="nil"/>
            </w:tcBorders>
            <w:noWrap w:val="0"/>
            <w:vAlign w:val="center"/>
          </w:tcPr>
          <w:p w14:paraId="4146ACC9">
            <w:pPr>
              <w:pStyle w:val="23"/>
              <w:bidi w:val="0"/>
              <w:jc w:val="center"/>
              <w:rPr>
                <w:rFonts w:hint="eastAsia" w:eastAsia="宋体"/>
                <w:color w:val="auto"/>
                <w:lang w:val="en-US" w:eastAsia="zh-CN"/>
              </w:rPr>
            </w:pPr>
            <w:r>
              <w:rPr>
                <w:rFonts w:hint="eastAsia"/>
                <w:color w:val="auto"/>
                <w:lang w:val="en-US" w:eastAsia="zh-CN"/>
              </w:rPr>
              <w:t>否</w:t>
            </w:r>
          </w:p>
        </w:tc>
      </w:tr>
      <w:tr w14:paraId="6FD2D532">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restart"/>
            <w:tcBorders>
              <w:left w:val="nil"/>
            </w:tcBorders>
            <w:shd w:val="clear" w:color="auto" w:fill="auto"/>
            <w:noWrap w:val="0"/>
            <w:vAlign w:val="center"/>
          </w:tcPr>
          <w:p w14:paraId="1AA9884E">
            <w:pPr>
              <w:pStyle w:val="23"/>
              <w:bidi w:val="0"/>
              <w:jc w:val="center"/>
              <w:rPr>
                <w:color w:val="auto"/>
              </w:rPr>
            </w:pPr>
            <w:r>
              <w:rPr>
                <w:color w:val="auto"/>
              </w:rPr>
              <w:t>环境保护措施</w:t>
            </w:r>
          </w:p>
        </w:tc>
        <w:tc>
          <w:tcPr>
            <w:tcW w:w="3266" w:type="dxa"/>
            <w:vMerge w:val="restart"/>
            <w:shd w:val="clear" w:color="auto" w:fill="auto"/>
            <w:noWrap w:val="0"/>
            <w:vAlign w:val="center"/>
          </w:tcPr>
          <w:p w14:paraId="6E3ECE77">
            <w:pPr>
              <w:pStyle w:val="23"/>
              <w:bidi w:val="0"/>
              <w:jc w:val="left"/>
              <w:rPr>
                <w:color w:val="auto"/>
              </w:rPr>
            </w:pPr>
            <w:r>
              <w:rPr>
                <w:color w:val="auto"/>
              </w:rPr>
              <w:t>8.废气、废水污染防治措施变化，导致第6条中所列情形之一（废气无组织排放改为有组织排放、污染防治措施强化或改进的除外）或大气污染物无组织排放量增加10%及以上的</w:t>
            </w:r>
          </w:p>
        </w:tc>
        <w:tc>
          <w:tcPr>
            <w:tcW w:w="3245" w:type="dxa"/>
            <w:vMerge w:val="restart"/>
            <w:noWrap w:val="0"/>
            <w:vAlign w:val="center"/>
          </w:tcPr>
          <w:p w14:paraId="79ECE001">
            <w:pPr>
              <w:pStyle w:val="23"/>
              <w:bidi w:val="0"/>
              <w:jc w:val="left"/>
              <w:rPr>
                <w:rFonts w:hint="default"/>
                <w:color w:val="auto"/>
              </w:rPr>
            </w:pPr>
            <w:r>
              <w:rPr>
                <w:rFonts w:hint="eastAsia"/>
                <w:color w:val="auto"/>
                <w:lang w:val="en-US" w:eastAsia="zh-CN"/>
              </w:rPr>
              <w:t>废气：</w:t>
            </w:r>
            <w:r>
              <w:rPr>
                <w:rFonts w:hint="default" w:ascii="Times New Roman" w:hAnsi="Times New Roman" w:cs="Times New Roman"/>
                <w:color w:val="auto"/>
              </w:rPr>
              <w:t>1）接收与贮存的污染防治：对于飞灰的贮存设施和输送、处理设备均采取密闭措施，利</w:t>
            </w:r>
            <w:r>
              <w:rPr>
                <w:rFonts w:hint="default"/>
                <w:color w:val="auto"/>
              </w:rPr>
              <w:t>用气力输送，严格防止粉尘污染。在飞灰储仓的上方设置布袋除尘器，飞灰贮存过程中产生的废气经布袋除尘后通过</w:t>
            </w:r>
            <w:r>
              <w:rPr>
                <w:rFonts w:hint="default"/>
                <w:color w:val="auto"/>
                <w:lang w:eastAsia="zh-CN"/>
              </w:rPr>
              <w:t>排气筒G1（DA001）</w:t>
            </w:r>
            <w:r>
              <w:rPr>
                <w:rFonts w:hint="default"/>
                <w:color w:val="auto"/>
              </w:rPr>
              <w:t>（H=25m）引至厂房屋顶外有组织排放。</w:t>
            </w:r>
          </w:p>
          <w:p w14:paraId="0186AA34">
            <w:pPr>
              <w:pStyle w:val="23"/>
              <w:bidi w:val="0"/>
              <w:jc w:val="left"/>
              <w:rPr>
                <w:rFonts w:hint="default"/>
                <w:color w:val="auto"/>
              </w:rPr>
            </w:pPr>
            <w:r>
              <w:rPr>
                <w:rFonts w:hint="default"/>
                <w:color w:val="auto"/>
              </w:rPr>
              <w:t>2）搅拌和养护过程污染防治：飞灰搅拌过程在搅拌机中进行，飞灰筒仓-给料机、给料机-搅拌机各接口均为全封闭式结构，混炼搅拌过程粉尘不外溢，日常加强对设备维护；养护过程在养护区进行，养护区地面已做好防渗处理，吨袋打包过程不宜承接过满防止溢出吨袋，养护过程呈固化物状态，在养护过程中无粉尘产生。</w:t>
            </w:r>
          </w:p>
          <w:p w14:paraId="644A9225">
            <w:pPr>
              <w:pStyle w:val="23"/>
              <w:bidi w:val="0"/>
              <w:jc w:val="left"/>
              <w:rPr>
                <w:rFonts w:hint="default"/>
                <w:color w:val="auto"/>
              </w:rPr>
            </w:pPr>
            <w:r>
              <w:rPr>
                <w:rFonts w:hint="default"/>
                <w:color w:val="auto"/>
              </w:rPr>
              <w:t>3）稳定化预处理车间：为了避免扬尘污染，工艺上对物料采取密闭储藏，储罐上方顶部设置布袋除尘器，并采用气力输送等措施。</w:t>
            </w:r>
          </w:p>
          <w:p w14:paraId="2BE659D2">
            <w:pPr>
              <w:pStyle w:val="23"/>
              <w:bidi w:val="0"/>
              <w:jc w:val="left"/>
              <w:rPr>
                <w:rFonts w:hint="default"/>
                <w:color w:val="auto"/>
              </w:rPr>
            </w:pPr>
            <w:r>
              <w:rPr>
                <w:rFonts w:hint="default"/>
                <w:color w:val="auto"/>
              </w:rPr>
              <w:t>4）不合格飞灰固化物再利用：不合格飞灰固化物经过破碎机破碎，过程严格防止粉尘污染。粉尘经过破碎机配套一体收尘管道收集后进入单独布袋除尘器处理，处理后</w:t>
            </w:r>
            <w:r>
              <w:rPr>
                <w:rFonts w:hint="eastAsia"/>
                <w:color w:val="auto"/>
                <w:lang w:val="en-US" w:eastAsia="zh-CN"/>
              </w:rPr>
              <w:t>收集至</w:t>
            </w:r>
            <w:r>
              <w:rPr>
                <w:rFonts w:hint="default"/>
                <w:color w:val="auto"/>
                <w:lang w:eastAsia="zh-CN"/>
              </w:rPr>
              <w:t>排气筒G1（DA001）</w:t>
            </w:r>
            <w:r>
              <w:rPr>
                <w:rFonts w:hint="default"/>
                <w:color w:val="auto"/>
              </w:rPr>
              <w:t>（H=25m）</w:t>
            </w:r>
            <w:r>
              <w:rPr>
                <w:rFonts w:hint="default"/>
                <w:color w:val="auto"/>
                <w:lang w:eastAsia="zh-CN"/>
              </w:rPr>
              <w:t>，</w:t>
            </w:r>
            <w:r>
              <w:rPr>
                <w:rFonts w:hint="default"/>
                <w:color w:val="auto"/>
              </w:rPr>
              <w:t>由于整套设备均位于厂房内部，正常生产工况下厂房密闭，有散溢粉尘（飞灰卸料以及设备检修过程中存在的溢尘）随着运输车辆及员工进出厂房溢散至厂房外部呈无组织排放。</w:t>
            </w:r>
          </w:p>
          <w:p w14:paraId="7950ECD0">
            <w:pPr>
              <w:pStyle w:val="23"/>
              <w:bidi w:val="0"/>
              <w:jc w:val="left"/>
              <w:rPr>
                <w:rFonts w:hint="eastAsia"/>
                <w:color w:val="auto"/>
                <w:lang w:val="en-US" w:eastAsia="zh-CN"/>
              </w:rPr>
            </w:pPr>
            <w:r>
              <w:rPr>
                <w:rFonts w:hint="eastAsia"/>
                <w:color w:val="auto"/>
                <w:lang w:val="en-US" w:eastAsia="zh-CN"/>
              </w:rPr>
              <w:t>废水：（1）生活污水经化粪池处理达到《污水综合排放标准》的三级排放标准后，通过市政管网纳入福州市洋里污水处理厂。</w:t>
            </w:r>
          </w:p>
          <w:p w14:paraId="52C11BD2">
            <w:pPr>
              <w:pStyle w:val="23"/>
              <w:bidi w:val="0"/>
              <w:jc w:val="left"/>
              <w:rPr>
                <w:rFonts w:hint="eastAsia"/>
                <w:color w:val="auto"/>
                <w:lang w:val="en-US" w:eastAsia="zh-CN"/>
              </w:rPr>
            </w:pPr>
            <w:r>
              <w:rPr>
                <w:rFonts w:hint="eastAsia"/>
                <w:color w:val="auto"/>
                <w:lang w:val="en-US" w:eastAsia="zh-CN"/>
              </w:rPr>
              <w:t>（2）</w:t>
            </w:r>
            <w:r>
              <w:rPr>
                <w:rFonts w:hint="eastAsia" w:eastAsia="宋体"/>
                <w:color w:val="auto"/>
                <w:szCs w:val="21"/>
                <w:u w:val="none"/>
              </w:rPr>
              <w:t>设置生产废水回用收集槽</w:t>
            </w:r>
            <w:r>
              <w:rPr>
                <w:rFonts w:hint="eastAsia" w:eastAsia="宋体"/>
                <w:color w:val="auto"/>
                <w:szCs w:val="21"/>
                <w:u w:val="none"/>
                <w:lang w:val="en-US" w:eastAsia="zh-CN"/>
              </w:rPr>
              <w:t>及回用池、</w:t>
            </w:r>
            <w:r>
              <w:rPr>
                <w:rFonts w:hint="eastAsia" w:eastAsia="宋体"/>
                <w:color w:val="auto"/>
                <w:szCs w:val="21"/>
                <w:u w:val="none"/>
              </w:rPr>
              <w:t>专门废水回收罐，实现生产废水每日收集后回用。</w:t>
            </w:r>
          </w:p>
        </w:tc>
        <w:tc>
          <w:tcPr>
            <w:tcW w:w="3104" w:type="dxa"/>
            <w:vMerge w:val="restart"/>
            <w:noWrap w:val="0"/>
            <w:vAlign w:val="center"/>
          </w:tcPr>
          <w:p w14:paraId="12AE84F2">
            <w:pPr>
              <w:pStyle w:val="23"/>
              <w:bidi w:val="0"/>
              <w:jc w:val="left"/>
              <w:rPr>
                <w:rFonts w:hint="default"/>
                <w:color w:val="auto"/>
              </w:rPr>
            </w:pPr>
            <w:r>
              <w:rPr>
                <w:rFonts w:hint="eastAsia"/>
                <w:color w:val="auto"/>
                <w:lang w:val="en-US" w:eastAsia="zh-CN"/>
              </w:rPr>
              <w:t>废气：</w:t>
            </w:r>
            <w:r>
              <w:rPr>
                <w:rFonts w:hint="default" w:ascii="Times New Roman" w:hAnsi="Times New Roman" w:cs="Times New Roman"/>
                <w:color w:val="auto"/>
              </w:rPr>
              <w:t>1）接收与贮存的污染防治：对于飞灰的贮存设施和输送、处理设备均采取密闭措施，利</w:t>
            </w:r>
            <w:r>
              <w:rPr>
                <w:rFonts w:hint="default"/>
                <w:color w:val="auto"/>
              </w:rPr>
              <w:t>用气力输送，严格防止粉尘污染。在飞灰储仓的上方设置布袋除尘器，飞灰贮存过程中产生的废气经布袋除尘后通过</w:t>
            </w:r>
            <w:r>
              <w:rPr>
                <w:rFonts w:hint="default"/>
                <w:color w:val="auto"/>
                <w:lang w:eastAsia="zh-CN"/>
              </w:rPr>
              <w:t>排气筒G1（DA001）</w:t>
            </w:r>
            <w:r>
              <w:rPr>
                <w:rFonts w:hint="default"/>
                <w:color w:val="auto"/>
              </w:rPr>
              <w:t>（H=25m）引至厂房屋顶外有组织排放。</w:t>
            </w:r>
          </w:p>
          <w:p w14:paraId="36A2C651">
            <w:pPr>
              <w:pStyle w:val="23"/>
              <w:bidi w:val="0"/>
              <w:jc w:val="left"/>
              <w:rPr>
                <w:rFonts w:hint="default"/>
                <w:color w:val="auto"/>
              </w:rPr>
            </w:pPr>
            <w:r>
              <w:rPr>
                <w:rFonts w:hint="default"/>
                <w:color w:val="auto"/>
              </w:rPr>
              <w:t>2）搅拌和养护过程污染防治：飞灰搅拌过程在搅拌机中进行，飞灰筒仓-给料机、给料机-搅拌机各接口均为全封闭式结构，混炼搅拌过程粉尘不外溢，日常加强对设备维护；养护过程在养护区进行，养护区地面已做好防渗处理，吨袋打包过程不承接过满防止溢出吨袋，养护过程呈固化物状态，在养护过程中无粉尘产生。</w:t>
            </w:r>
          </w:p>
          <w:p w14:paraId="25B2BE4D">
            <w:pPr>
              <w:pStyle w:val="23"/>
              <w:bidi w:val="0"/>
              <w:jc w:val="left"/>
              <w:rPr>
                <w:rFonts w:hint="default"/>
                <w:color w:val="auto"/>
              </w:rPr>
            </w:pPr>
            <w:r>
              <w:rPr>
                <w:rFonts w:hint="default"/>
                <w:color w:val="auto"/>
              </w:rPr>
              <w:t>3）稳定化预处理车间：为了避免扬尘污染，工艺上对物料采取密闭储藏，储罐上方顶部设置布袋除尘器，并采用气力输送等措施。</w:t>
            </w:r>
          </w:p>
          <w:p w14:paraId="08184384">
            <w:pPr>
              <w:pStyle w:val="23"/>
              <w:bidi w:val="0"/>
              <w:jc w:val="left"/>
              <w:rPr>
                <w:rFonts w:hint="eastAsia"/>
                <w:color w:val="auto"/>
                <w:lang w:val="en-US" w:eastAsia="zh-CN"/>
              </w:rPr>
            </w:pPr>
            <w:r>
              <w:rPr>
                <w:rFonts w:hint="default"/>
                <w:color w:val="auto"/>
              </w:rPr>
              <w:t>4）不合格飞灰固化物再利用：不合格飞灰固化物经过破碎机破碎，过程严格防止粉尘污染。粉尘经过破碎机配套一体收尘管道收集后进入单独布袋除尘器处理，处理后</w:t>
            </w:r>
            <w:r>
              <w:rPr>
                <w:rFonts w:hint="eastAsia"/>
                <w:color w:val="auto"/>
                <w:lang w:val="en-US" w:eastAsia="zh-CN"/>
              </w:rPr>
              <w:t>收集至</w:t>
            </w:r>
            <w:r>
              <w:rPr>
                <w:rFonts w:hint="default"/>
                <w:color w:val="auto"/>
                <w:lang w:eastAsia="zh-CN"/>
              </w:rPr>
              <w:t>排气筒G1（DA001）</w:t>
            </w:r>
            <w:r>
              <w:rPr>
                <w:rFonts w:hint="default"/>
                <w:color w:val="auto"/>
              </w:rPr>
              <w:t>（H=25m）</w:t>
            </w:r>
            <w:r>
              <w:rPr>
                <w:rFonts w:hint="default"/>
                <w:color w:val="auto"/>
                <w:lang w:eastAsia="zh-CN"/>
              </w:rPr>
              <w:t>，</w:t>
            </w:r>
            <w:r>
              <w:rPr>
                <w:rFonts w:hint="default"/>
                <w:color w:val="auto"/>
              </w:rPr>
              <w:t>由于整套设备均位于厂房内部，正常生产工况下厂房密闭，有散溢粉尘（飞灰卸料以及设备检修过程中存在的溢尘）随着运输车辆及员工进出厂房溢散至厂房外部呈无组织排放。</w:t>
            </w:r>
          </w:p>
          <w:p w14:paraId="7D259770">
            <w:pPr>
              <w:pStyle w:val="23"/>
              <w:bidi w:val="0"/>
              <w:jc w:val="left"/>
              <w:rPr>
                <w:rFonts w:hint="eastAsia"/>
                <w:color w:val="auto"/>
                <w:lang w:val="en-US" w:eastAsia="zh-CN"/>
              </w:rPr>
            </w:pPr>
            <w:r>
              <w:rPr>
                <w:rFonts w:hint="eastAsia"/>
                <w:color w:val="auto"/>
                <w:lang w:val="en-US" w:eastAsia="zh-CN"/>
              </w:rPr>
              <w:t>废水：（1）生活污水经化粪池处理达到《污水综合排放标准》的三级排放标准后，通过市政管网纳入福州市洋里污水处理厂。</w:t>
            </w:r>
          </w:p>
          <w:p w14:paraId="35EC5E8A">
            <w:pPr>
              <w:pStyle w:val="23"/>
              <w:bidi w:val="0"/>
              <w:jc w:val="left"/>
              <w:rPr>
                <w:rFonts w:hint="eastAsia"/>
                <w:color w:val="auto"/>
                <w:lang w:val="en-US" w:eastAsia="zh-CN"/>
              </w:rPr>
            </w:pPr>
            <w:r>
              <w:rPr>
                <w:rFonts w:hint="eastAsia"/>
                <w:color w:val="auto"/>
                <w:lang w:val="en-US" w:eastAsia="zh-CN"/>
              </w:rPr>
              <w:t>（2）</w:t>
            </w:r>
            <w:r>
              <w:rPr>
                <w:rFonts w:hint="eastAsia" w:eastAsia="宋体"/>
                <w:color w:val="auto"/>
                <w:szCs w:val="21"/>
                <w:u w:val="none"/>
              </w:rPr>
              <w:t>设置生产废水回用收集槽</w:t>
            </w:r>
            <w:r>
              <w:rPr>
                <w:rFonts w:hint="eastAsia" w:eastAsia="宋体"/>
                <w:color w:val="auto"/>
                <w:szCs w:val="21"/>
                <w:u w:val="none"/>
                <w:lang w:val="en-US" w:eastAsia="zh-CN"/>
              </w:rPr>
              <w:t>及回用池</w:t>
            </w:r>
            <w:r>
              <w:rPr>
                <w:rFonts w:hint="eastAsia" w:eastAsia="宋体"/>
                <w:color w:val="auto"/>
                <w:szCs w:val="21"/>
                <w:u w:val="none"/>
              </w:rPr>
              <w:t>，</w:t>
            </w:r>
            <w:r>
              <w:rPr>
                <w:rFonts w:hint="default" w:ascii="Times New Roman" w:hAnsi="Times New Roman" w:cs="Times New Roman"/>
                <w:color w:val="auto"/>
              </w:rPr>
              <w:t>经过沉淀池固液分离</w:t>
            </w:r>
            <w:r>
              <w:rPr>
                <w:rFonts w:hint="default" w:ascii="Times New Roman" w:hAnsi="Times New Roman" w:cs="Times New Roman"/>
                <w:color w:val="auto"/>
                <w:highlight w:val="none"/>
              </w:rPr>
              <w:t>，上层清液</w:t>
            </w:r>
            <w:r>
              <w:rPr>
                <w:rFonts w:hint="default" w:ascii="Times New Roman" w:hAnsi="Times New Roman" w:cs="Times New Roman"/>
                <w:color w:val="auto"/>
                <w:highlight w:val="none"/>
                <w:lang w:val="en-US" w:eastAsia="zh-CN"/>
              </w:rPr>
              <w:t>抽至生产线回用</w:t>
            </w:r>
            <w:r>
              <w:rPr>
                <w:rFonts w:hint="eastAsia" w:ascii="Times New Roman" w:hAnsi="Times New Roman" w:cs="Times New Roman"/>
                <w:color w:val="auto"/>
                <w:highlight w:val="none"/>
                <w:lang w:val="en-US" w:eastAsia="zh-CN"/>
              </w:rPr>
              <w:t>，</w:t>
            </w:r>
            <w:r>
              <w:rPr>
                <w:rFonts w:hint="eastAsia" w:eastAsia="宋体"/>
                <w:color w:val="auto"/>
                <w:szCs w:val="21"/>
                <w:u w:val="none"/>
              </w:rPr>
              <w:t>实现生产废水每日收集后回用。</w:t>
            </w:r>
          </w:p>
        </w:tc>
        <w:tc>
          <w:tcPr>
            <w:tcW w:w="2647" w:type="dxa"/>
            <w:vMerge w:val="restart"/>
            <w:noWrap w:val="0"/>
            <w:vAlign w:val="center"/>
          </w:tcPr>
          <w:p w14:paraId="649B0E71">
            <w:pPr>
              <w:pStyle w:val="23"/>
              <w:bidi w:val="0"/>
              <w:jc w:val="left"/>
              <w:rPr>
                <w:rFonts w:hint="eastAsia"/>
                <w:color w:val="auto"/>
                <w:lang w:val="en-US" w:eastAsia="zh-CN"/>
              </w:rPr>
            </w:pPr>
            <w:r>
              <w:rPr>
                <w:color w:val="auto"/>
              </w:rPr>
              <w:t>废气</w:t>
            </w:r>
            <w:r>
              <w:rPr>
                <w:rFonts w:hint="eastAsia"/>
                <w:color w:val="auto"/>
                <w:lang w:eastAsia="zh-CN"/>
              </w:rPr>
              <w:t>、</w:t>
            </w:r>
            <w:r>
              <w:rPr>
                <w:rFonts w:hint="eastAsia"/>
                <w:color w:val="auto"/>
                <w:lang w:val="en-US" w:eastAsia="zh-CN"/>
              </w:rPr>
              <w:t>废水</w:t>
            </w:r>
            <w:r>
              <w:rPr>
                <w:color w:val="auto"/>
              </w:rPr>
              <w:t>污染防治措施</w:t>
            </w:r>
            <w:r>
              <w:rPr>
                <w:rFonts w:hint="eastAsia"/>
                <w:color w:val="auto"/>
                <w:lang w:val="en-US" w:eastAsia="zh-CN"/>
              </w:rPr>
              <w:t>未发生</w:t>
            </w:r>
            <w:r>
              <w:rPr>
                <w:color w:val="auto"/>
              </w:rPr>
              <w:t>变化</w:t>
            </w:r>
          </w:p>
        </w:tc>
        <w:tc>
          <w:tcPr>
            <w:tcW w:w="1043" w:type="dxa"/>
            <w:tcBorders>
              <w:right w:val="nil"/>
            </w:tcBorders>
            <w:noWrap w:val="0"/>
            <w:vAlign w:val="center"/>
          </w:tcPr>
          <w:p w14:paraId="585A1620">
            <w:pPr>
              <w:pStyle w:val="23"/>
              <w:bidi w:val="0"/>
              <w:jc w:val="center"/>
              <w:rPr>
                <w:rFonts w:hint="eastAsia" w:eastAsia="宋体"/>
                <w:color w:val="auto"/>
                <w:lang w:val="en-US" w:eastAsia="zh-CN"/>
              </w:rPr>
            </w:pPr>
            <w:r>
              <w:rPr>
                <w:rFonts w:hint="eastAsia"/>
                <w:color w:val="auto"/>
                <w:lang w:val="en-US" w:eastAsia="zh-CN"/>
              </w:rPr>
              <w:t>否</w:t>
            </w:r>
          </w:p>
        </w:tc>
      </w:tr>
      <w:tr w14:paraId="7E2C9AE6">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continue"/>
            <w:tcBorders>
              <w:left w:val="nil"/>
            </w:tcBorders>
            <w:shd w:val="clear" w:color="auto" w:fill="auto"/>
            <w:noWrap w:val="0"/>
            <w:vAlign w:val="center"/>
          </w:tcPr>
          <w:p w14:paraId="3515FE38">
            <w:pPr>
              <w:pStyle w:val="23"/>
              <w:bidi w:val="0"/>
              <w:jc w:val="center"/>
              <w:rPr>
                <w:color w:val="auto"/>
              </w:rPr>
            </w:pPr>
          </w:p>
        </w:tc>
        <w:tc>
          <w:tcPr>
            <w:tcW w:w="3266" w:type="dxa"/>
            <w:vMerge w:val="continue"/>
            <w:shd w:val="clear" w:color="auto" w:fill="auto"/>
            <w:noWrap w:val="0"/>
            <w:vAlign w:val="center"/>
          </w:tcPr>
          <w:p w14:paraId="6F72D443">
            <w:pPr>
              <w:pStyle w:val="23"/>
              <w:bidi w:val="0"/>
              <w:jc w:val="left"/>
              <w:rPr>
                <w:color w:val="auto"/>
              </w:rPr>
            </w:pPr>
          </w:p>
        </w:tc>
        <w:tc>
          <w:tcPr>
            <w:tcW w:w="3245" w:type="dxa"/>
            <w:vMerge w:val="continue"/>
            <w:noWrap w:val="0"/>
            <w:vAlign w:val="center"/>
          </w:tcPr>
          <w:p w14:paraId="7275CB0C">
            <w:pPr>
              <w:pStyle w:val="23"/>
              <w:bidi w:val="0"/>
              <w:jc w:val="left"/>
              <w:rPr>
                <w:rFonts w:hint="eastAsia"/>
                <w:color w:val="auto"/>
                <w:lang w:val="en-US" w:eastAsia="zh-CN"/>
              </w:rPr>
            </w:pPr>
          </w:p>
        </w:tc>
        <w:tc>
          <w:tcPr>
            <w:tcW w:w="3104" w:type="dxa"/>
            <w:vMerge w:val="continue"/>
            <w:noWrap w:val="0"/>
            <w:vAlign w:val="center"/>
          </w:tcPr>
          <w:p w14:paraId="09D59661">
            <w:pPr>
              <w:pStyle w:val="23"/>
              <w:bidi w:val="0"/>
              <w:jc w:val="left"/>
              <w:rPr>
                <w:rFonts w:hint="eastAsia"/>
                <w:color w:val="auto"/>
                <w:lang w:val="en-US" w:eastAsia="zh-CN"/>
              </w:rPr>
            </w:pPr>
          </w:p>
        </w:tc>
        <w:tc>
          <w:tcPr>
            <w:tcW w:w="2647" w:type="dxa"/>
            <w:vMerge w:val="continue"/>
            <w:noWrap w:val="0"/>
            <w:vAlign w:val="center"/>
          </w:tcPr>
          <w:p w14:paraId="7A4FFEC9">
            <w:pPr>
              <w:pStyle w:val="23"/>
              <w:bidi w:val="0"/>
              <w:jc w:val="left"/>
              <w:rPr>
                <w:rFonts w:hint="eastAsia"/>
                <w:color w:val="auto"/>
                <w:lang w:val="en-US" w:eastAsia="zh-CN"/>
              </w:rPr>
            </w:pPr>
          </w:p>
        </w:tc>
        <w:tc>
          <w:tcPr>
            <w:tcW w:w="1043" w:type="dxa"/>
            <w:tcBorders>
              <w:right w:val="nil"/>
            </w:tcBorders>
            <w:noWrap w:val="0"/>
            <w:vAlign w:val="center"/>
          </w:tcPr>
          <w:p w14:paraId="62A8CD64">
            <w:pPr>
              <w:pStyle w:val="23"/>
              <w:bidi w:val="0"/>
              <w:jc w:val="center"/>
              <w:rPr>
                <w:rFonts w:hint="default"/>
                <w:color w:val="auto"/>
                <w:lang w:val="en-US" w:eastAsia="zh-CN"/>
              </w:rPr>
            </w:pPr>
            <w:r>
              <w:rPr>
                <w:rFonts w:hint="eastAsia"/>
                <w:color w:val="auto"/>
                <w:lang w:val="en-US" w:eastAsia="zh-CN"/>
              </w:rPr>
              <w:t>否</w:t>
            </w:r>
          </w:p>
        </w:tc>
      </w:tr>
      <w:tr w14:paraId="1F9E7FE5">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continue"/>
            <w:tcBorders>
              <w:left w:val="nil"/>
            </w:tcBorders>
            <w:shd w:val="clear" w:color="auto" w:fill="auto"/>
            <w:noWrap w:val="0"/>
            <w:vAlign w:val="center"/>
          </w:tcPr>
          <w:p w14:paraId="68D00505">
            <w:pPr>
              <w:pStyle w:val="23"/>
              <w:bidi w:val="0"/>
              <w:jc w:val="center"/>
              <w:rPr>
                <w:color w:val="auto"/>
              </w:rPr>
            </w:pPr>
          </w:p>
        </w:tc>
        <w:tc>
          <w:tcPr>
            <w:tcW w:w="3266" w:type="dxa"/>
            <w:shd w:val="clear" w:color="auto" w:fill="auto"/>
            <w:noWrap w:val="0"/>
            <w:vAlign w:val="top"/>
          </w:tcPr>
          <w:p w14:paraId="7BE9EE80">
            <w:pPr>
              <w:pStyle w:val="23"/>
              <w:bidi w:val="0"/>
              <w:jc w:val="left"/>
              <w:rPr>
                <w:color w:val="auto"/>
                <w:lang w:val="en-US" w:eastAsia="en-US"/>
              </w:rPr>
            </w:pPr>
            <w:r>
              <w:rPr>
                <w:color w:val="auto"/>
              </w:rPr>
              <w:t>9.新增废水直接排放口；废水由间接排放改为直接排放；废水直接排放口位置变化，导致不利环境影响加重的。</w:t>
            </w:r>
          </w:p>
        </w:tc>
        <w:tc>
          <w:tcPr>
            <w:tcW w:w="3245" w:type="dxa"/>
            <w:noWrap w:val="0"/>
            <w:vAlign w:val="center"/>
          </w:tcPr>
          <w:p w14:paraId="0A762B55">
            <w:pPr>
              <w:pStyle w:val="23"/>
              <w:bidi w:val="0"/>
              <w:jc w:val="center"/>
              <w:rPr>
                <w:rFonts w:hint="default"/>
                <w:color w:val="auto"/>
                <w:lang w:val="en-US" w:eastAsia="zh-CN"/>
              </w:rPr>
            </w:pPr>
            <w:r>
              <w:rPr>
                <w:rFonts w:hint="eastAsia"/>
                <w:color w:val="auto"/>
                <w:lang w:val="en-US" w:eastAsia="zh-CN"/>
              </w:rPr>
              <w:t>/</w:t>
            </w:r>
          </w:p>
        </w:tc>
        <w:tc>
          <w:tcPr>
            <w:tcW w:w="3104" w:type="dxa"/>
            <w:noWrap w:val="0"/>
            <w:vAlign w:val="center"/>
          </w:tcPr>
          <w:p w14:paraId="60262532">
            <w:pPr>
              <w:pStyle w:val="23"/>
              <w:bidi w:val="0"/>
              <w:jc w:val="center"/>
              <w:rPr>
                <w:rFonts w:hint="default"/>
                <w:color w:val="auto"/>
                <w:lang w:val="en-US" w:eastAsia="zh-CN"/>
              </w:rPr>
            </w:pPr>
            <w:r>
              <w:rPr>
                <w:rFonts w:hint="eastAsia"/>
                <w:color w:val="auto"/>
                <w:lang w:val="en-US" w:eastAsia="zh-CN"/>
              </w:rPr>
              <w:t>/</w:t>
            </w:r>
          </w:p>
        </w:tc>
        <w:tc>
          <w:tcPr>
            <w:tcW w:w="2647" w:type="dxa"/>
            <w:noWrap w:val="0"/>
            <w:vAlign w:val="center"/>
          </w:tcPr>
          <w:p w14:paraId="32A2FA0F">
            <w:pPr>
              <w:pStyle w:val="23"/>
              <w:bidi w:val="0"/>
              <w:jc w:val="both"/>
              <w:rPr>
                <w:color w:val="auto"/>
              </w:rPr>
            </w:pPr>
            <w:r>
              <w:rPr>
                <w:color w:val="auto"/>
              </w:rPr>
              <w:t>未新增废水直接排放口；废水排放方式仍为间接排放</w:t>
            </w:r>
          </w:p>
        </w:tc>
        <w:tc>
          <w:tcPr>
            <w:tcW w:w="1043" w:type="dxa"/>
            <w:tcBorders>
              <w:right w:val="nil"/>
            </w:tcBorders>
            <w:noWrap w:val="0"/>
            <w:vAlign w:val="center"/>
          </w:tcPr>
          <w:p w14:paraId="1C9F1AA4">
            <w:pPr>
              <w:pStyle w:val="23"/>
              <w:bidi w:val="0"/>
              <w:jc w:val="center"/>
              <w:rPr>
                <w:rFonts w:hint="eastAsia" w:eastAsia="宋体"/>
                <w:color w:val="auto"/>
                <w:lang w:val="en-US" w:eastAsia="zh-CN"/>
              </w:rPr>
            </w:pPr>
            <w:r>
              <w:rPr>
                <w:rFonts w:hint="eastAsia"/>
                <w:color w:val="auto"/>
                <w:lang w:val="en-US" w:eastAsia="zh-CN"/>
              </w:rPr>
              <w:t>否</w:t>
            </w:r>
          </w:p>
        </w:tc>
      </w:tr>
      <w:tr w14:paraId="54B2593C">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continue"/>
            <w:tcBorders>
              <w:left w:val="nil"/>
            </w:tcBorders>
            <w:shd w:val="clear" w:color="auto" w:fill="auto"/>
            <w:noWrap w:val="0"/>
            <w:vAlign w:val="center"/>
          </w:tcPr>
          <w:p w14:paraId="75710B75">
            <w:pPr>
              <w:pStyle w:val="23"/>
              <w:bidi w:val="0"/>
              <w:jc w:val="center"/>
              <w:rPr>
                <w:color w:val="auto"/>
              </w:rPr>
            </w:pPr>
          </w:p>
        </w:tc>
        <w:tc>
          <w:tcPr>
            <w:tcW w:w="3266" w:type="dxa"/>
            <w:shd w:val="clear" w:color="auto" w:fill="auto"/>
            <w:noWrap w:val="0"/>
            <w:vAlign w:val="top"/>
          </w:tcPr>
          <w:p w14:paraId="629DDD67">
            <w:pPr>
              <w:pStyle w:val="23"/>
              <w:bidi w:val="0"/>
              <w:jc w:val="left"/>
              <w:rPr>
                <w:color w:val="auto"/>
                <w:lang w:val="en-US" w:eastAsia="en-US"/>
              </w:rPr>
            </w:pPr>
            <w:r>
              <w:rPr>
                <w:color w:val="auto"/>
              </w:rPr>
              <w:t>10.新增废气主要排放口（废气无组织排放改为有组织排放的除外）；主要排放口排气筒高度降低10%及以上的</w:t>
            </w:r>
          </w:p>
        </w:tc>
        <w:tc>
          <w:tcPr>
            <w:tcW w:w="3245" w:type="dxa"/>
            <w:noWrap w:val="0"/>
            <w:vAlign w:val="center"/>
          </w:tcPr>
          <w:p w14:paraId="3D5A2C42">
            <w:pPr>
              <w:pStyle w:val="23"/>
              <w:bidi w:val="0"/>
              <w:jc w:val="center"/>
              <w:rPr>
                <w:rFonts w:hint="default"/>
                <w:color w:val="auto"/>
                <w:lang w:val="en-US" w:eastAsia="zh-CN"/>
              </w:rPr>
            </w:pPr>
            <w:r>
              <w:rPr>
                <w:rFonts w:hint="eastAsia"/>
                <w:color w:val="auto"/>
                <w:lang w:val="en-US" w:eastAsia="zh-CN"/>
              </w:rPr>
              <w:t>/</w:t>
            </w:r>
          </w:p>
        </w:tc>
        <w:tc>
          <w:tcPr>
            <w:tcW w:w="3104" w:type="dxa"/>
            <w:noWrap w:val="0"/>
            <w:vAlign w:val="center"/>
          </w:tcPr>
          <w:p w14:paraId="01B18731">
            <w:pPr>
              <w:pStyle w:val="23"/>
              <w:bidi w:val="0"/>
              <w:jc w:val="center"/>
              <w:rPr>
                <w:rFonts w:hint="default"/>
                <w:color w:val="auto"/>
                <w:lang w:val="en-US" w:eastAsia="zh-CN"/>
              </w:rPr>
            </w:pPr>
            <w:r>
              <w:rPr>
                <w:rFonts w:hint="eastAsia"/>
                <w:color w:val="auto"/>
                <w:lang w:val="en-US" w:eastAsia="zh-CN"/>
              </w:rPr>
              <w:t>/</w:t>
            </w:r>
          </w:p>
        </w:tc>
        <w:tc>
          <w:tcPr>
            <w:tcW w:w="2647" w:type="dxa"/>
            <w:noWrap w:val="0"/>
            <w:vAlign w:val="center"/>
          </w:tcPr>
          <w:p w14:paraId="2CB19FBE">
            <w:pPr>
              <w:pStyle w:val="23"/>
              <w:bidi w:val="0"/>
              <w:jc w:val="both"/>
              <w:rPr>
                <w:color w:val="auto"/>
              </w:rPr>
            </w:pPr>
            <w:r>
              <w:rPr>
                <w:color w:val="auto"/>
              </w:rPr>
              <w:t>未新增废气主要排放口；本项目废气排放口为一般排放口</w:t>
            </w:r>
          </w:p>
        </w:tc>
        <w:tc>
          <w:tcPr>
            <w:tcW w:w="1043" w:type="dxa"/>
            <w:tcBorders>
              <w:right w:val="nil"/>
            </w:tcBorders>
            <w:noWrap w:val="0"/>
            <w:vAlign w:val="center"/>
          </w:tcPr>
          <w:p w14:paraId="3E89B0B1">
            <w:pPr>
              <w:pStyle w:val="23"/>
              <w:bidi w:val="0"/>
              <w:jc w:val="center"/>
              <w:rPr>
                <w:rFonts w:hint="eastAsia" w:eastAsia="宋体"/>
                <w:color w:val="auto"/>
                <w:lang w:val="en-US" w:eastAsia="zh-CN"/>
              </w:rPr>
            </w:pPr>
            <w:r>
              <w:rPr>
                <w:rFonts w:hint="eastAsia"/>
                <w:color w:val="auto"/>
                <w:lang w:val="en-US" w:eastAsia="zh-CN"/>
              </w:rPr>
              <w:t>否</w:t>
            </w:r>
          </w:p>
        </w:tc>
      </w:tr>
      <w:tr w14:paraId="19FC8154">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continue"/>
            <w:tcBorders>
              <w:left w:val="nil"/>
            </w:tcBorders>
            <w:shd w:val="clear" w:color="auto" w:fill="auto"/>
            <w:noWrap w:val="0"/>
            <w:vAlign w:val="center"/>
          </w:tcPr>
          <w:p w14:paraId="27620F61">
            <w:pPr>
              <w:pStyle w:val="23"/>
              <w:bidi w:val="0"/>
              <w:jc w:val="center"/>
              <w:rPr>
                <w:color w:val="auto"/>
              </w:rPr>
            </w:pPr>
          </w:p>
        </w:tc>
        <w:tc>
          <w:tcPr>
            <w:tcW w:w="3266" w:type="dxa"/>
            <w:shd w:val="clear" w:color="auto" w:fill="auto"/>
            <w:noWrap w:val="0"/>
            <w:vAlign w:val="top"/>
          </w:tcPr>
          <w:p w14:paraId="5934762F">
            <w:pPr>
              <w:pStyle w:val="23"/>
              <w:bidi w:val="0"/>
              <w:jc w:val="left"/>
              <w:rPr>
                <w:color w:val="auto"/>
                <w:lang w:val="en-US" w:eastAsia="en-US"/>
              </w:rPr>
            </w:pPr>
            <w:r>
              <w:rPr>
                <w:color w:val="auto"/>
              </w:rPr>
              <w:t>11.噪声、土壤或地下水污染防治措施变化，导致不利环境影响加重的。</w:t>
            </w:r>
          </w:p>
        </w:tc>
        <w:tc>
          <w:tcPr>
            <w:tcW w:w="3245" w:type="dxa"/>
            <w:noWrap w:val="0"/>
            <w:vAlign w:val="center"/>
          </w:tcPr>
          <w:p w14:paraId="795E5843">
            <w:pPr>
              <w:pStyle w:val="23"/>
              <w:bidi w:val="0"/>
              <w:jc w:val="center"/>
              <w:rPr>
                <w:rFonts w:hint="default"/>
                <w:color w:val="auto"/>
                <w:lang w:val="en-US" w:eastAsia="zh-CN"/>
              </w:rPr>
            </w:pPr>
            <w:r>
              <w:rPr>
                <w:rFonts w:hint="eastAsia"/>
                <w:color w:val="auto"/>
                <w:lang w:val="en-US" w:eastAsia="zh-CN"/>
              </w:rPr>
              <w:t>/</w:t>
            </w:r>
          </w:p>
        </w:tc>
        <w:tc>
          <w:tcPr>
            <w:tcW w:w="3104" w:type="dxa"/>
            <w:noWrap w:val="0"/>
            <w:vAlign w:val="center"/>
          </w:tcPr>
          <w:p w14:paraId="3ED8FDAF">
            <w:pPr>
              <w:pStyle w:val="23"/>
              <w:bidi w:val="0"/>
              <w:jc w:val="center"/>
              <w:rPr>
                <w:rFonts w:hint="default"/>
                <w:color w:val="auto"/>
                <w:lang w:val="en-US" w:eastAsia="zh-CN"/>
              </w:rPr>
            </w:pPr>
            <w:r>
              <w:rPr>
                <w:rFonts w:hint="eastAsia"/>
                <w:color w:val="auto"/>
                <w:lang w:val="en-US" w:eastAsia="zh-CN"/>
              </w:rPr>
              <w:t>/</w:t>
            </w:r>
          </w:p>
        </w:tc>
        <w:tc>
          <w:tcPr>
            <w:tcW w:w="2647" w:type="dxa"/>
            <w:noWrap w:val="0"/>
            <w:vAlign w:val="center"/>
          </w:tcPr>
          <w:p w14:paraId="2D14DF27">
            <w:pPr>
              <w:pStyle w:val="23"/>
              <w:bidi w:val="0"/>
              <w:jc w:val="both"/>
              <w:rPr>
                <w:color w:val="auto"/>
              </w:rPr>
            </w:pPr>
            <w:r>
              <w:rPr>
                <w:color w:val="auto"/>
              </w:rPr>
              <w:t>噪声、土壤或地下水污染防治措施未变化</w:t>
            </w:r>
          </w:p>
        </w:tc>
        <w:tc>
          <w:tcPr>
            <w:tcW w:w="1043" w:type="dxa"/>
            <w:tcBorders>
              <w:right w:val="nil"/>
            </w:tcBorders>
            <w:noWrap w:val="0"/>
            <w:vAlign w:val="center"/>
          </w:tcPr>
          <w:p w14:paraId="23AF7C1E">
            <w:pPr>
              <w:pStyle w:val="23"/>
              <w:bidi w:val="0"/>
              <w:jc w:val="center"/>
              <w:rPr>
                <w:rFonts w:hint="eastAsia" w:eastAsia="宋体"/>
                <w:color w:val="auto"/>
                <w:lang w:val="en-US" w:eastAsia="zh-CN"/>
              </w:rPr>
            </w:pPr>
            <w:r>
              <w:rPr>
                <w:rFonts w:hint="eastAsia"/>
                <w:color w:val="auto"/>
                <w:lang w:val="en-US" w:eastAsia="zh-CN"/>
              </w:rPr>
              <w:t>否</w:t>
            </w:r>
          </w:p>
        </w:tc>
      </w:tr>
      <w:tr w14:paraId="41F4E0B2">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continue"/>
            <w:tcBorders>
              <w:left w:val="nil"/>
            </w:tcBorders>
            <w:shd w:val="clear" w:color="auto" w:fill="auto"/>
            <w:noWrap w:val="0"/>
            <w:vAlign w:val="center"/>
          </w:tcPr>
          <w:p w14:paraId="55F82ADE">
            <w:pPr>
              <w:pStyle w:val="23"/>
              <w:bidi w:val="0"/>
              <w:jc w:val="center"/>
              <w:rPr>
                <w:color w:val="auto"/>
              </w:rPr>
            </w:pPr>
          </w:p>
        </w:tc>
        <w:tc>
          <w:tcPr>
            <w:tcW w:w="3266" w:type="dxa"/>
            <w:shd w:val="clear" w:color="auto" w:fill="auto"/>
            <w:noWrap w:val="0"/>
            <w:vAlign w:val="top"/>
          </w:tcPr>
          <w:p w14:paraId="4A5C6F29">
            <w:pPr>
              <w:pStyle w:val="23"/>
              <w:bidi w:val="0"/>
              <w:jc w:val="left"/>
              <w:rPr>
                <w:color w:val="auto"/>
                <w:lang w:val="en-US" w:eastAsia="en-US"/>
              </w:rPr>
            </w:pPr>
            <w:r>
              <w:rPr>
                <w:color w:val="auto"/>
              </w:rPr>
              <w:t>12.固体废物利用处置方式由委托外单位利用处置改为自行利用处置的（自行利用处置设施单独开展环境影响评价的除外）；固体废物自行处置方式变化，导致不利环境影响加重的。</w:t>
            </w:r>
          </w:p>
        </w:tc>
        <w:tc>
          <w:tcPr>
            <w:tcW w:w="3245" w:type="dxa"/>
            <w:noWrap w:val="0"/>
            <w:vAlign w:val="center"/>
          </w:tcPr>
          <w:p w14:paraId="3CFD2635">
            <w:pPr>
              <w:pStyle w:val="23"/>
              <w:bidi w:val="0"/>
              <w:jc w:val="center"/>
              <w:rPr>
                <w:rFonts w:hint="default"/>
                <w:color w:val="auto"/>
                <w:lang w:val="en-US" w:eastAsia="zh-CN"/>
              </w:rPr>
            </w:pPr>
            <w:r>
              <w:rPr>
                <w:rFonts w:hint="eastAsia"/>
                <w:color w:val="auto"/>
                <w:lang w:val="en-US" w:eastAsia="zh-CN"/>
              </w:rPr>
              <w:t>/</w:t>
            </w:r>
          </w:p>
        </w:tc>
        <w:tc>
          <w:tcPr>
            <w:tcW w:w="3104" w:type="dxa"/>
            <w:noWrap w:val="0"/>
            <w:vAlign w:val="center"/>
          </w:tcPr>
          <w:p w14:paraId="4ADAED6F">
            <w:pPr>
              <w:pStyle w:val="23"/>
              <w:bidi w:val="0"/>
              <w:jc w:val="center"/>
              <w:rPr>
                <w:rFonts w:hint="default"/>
                <w:color w:val="auto"/>
                <w:lang w:val="en-US" w:eastAsia="zh-CN"/>
              </w:rPr>
            </w:pPr>
            <w:r>
              <w:rPr>
                <w:rFonts w:hint="eastAsia"/>
                <w:color w:val="auto"/>
                <w:lang w:val="en-US" w:eastAsia="zh-CN"/>
              </w:rPr>
              <w:t>/</w:t>
            </w:r>
          </w:p>
        </w:tc>
        <w:tc>
          <w:tcPr>
            <w:tcW w:w="2647" w:type="dxa"/>
            <w:noWrap w:val="0"/>
            <w:vAlign w:val="center"/>
          </w:tcPr>
          <w:p w14:paraId="20F2BA24">
            <w:pPr>
              <w:pStyle w:val="23"/>
              <w:bidi w:val="0"/>
              <w:jc w:val="left"/>
              <w:rPr>
                <w:color w:val="auto"/>
              </w:rPr>
            </w:pPr>
            <w:r>
              <w:rPr>
                <w:color w:val="auto"/>
              </w:rPr>
              <w:t>固体废物利用处置方式未改变，未导致不利环境影响加重</w:t>
            </w:r>
          </w:p>
        </w:tc>
        <w:tc>
          <w:tcPr>
            <w:tcW w:w="1043" w:type="dxa"/>
            <w:tcBorders>
              <w:right w:val="nil"/>
            </w:tcBorders>
            <w:noWrap w:val="0"/>
            <w:vAlign w:val="center"/>
          </w:tcPr>
          <w:p w14:paraId="7EA9256B">
            <w:pPr>
              <w:pStyle w:val="23"/>
              <w:bidi w:val="0"/>
              <w:jc w:val="center"/>
              <w:rPr>
                <w:rFonts w:hint="default" w:eastAsia="宋体"/>
                <w:color w:val="auto"/>
                <w:lang w:val="en-US" w:eastAsia="zh-CN"/>
              </w:rPr>
            </w:pPr>
            <w:r>
              <w:rPr>
                <w:rFonts w:hint="eastAsia"/>
                <w:color w:val="auto"/>
                <w:lang w:val="en-US" w:eastAsia="zh-CN"/>
              </w:rPr>
              <w:t>否</w:t>
            </w:r>
          </w:p>
        </w:tc>
      </w:tr>
      <w:tr w14:paraId="6817B342">
        <w:tblPrEx>
          <w:tblBorders>
            <w:top w:val="single" w:color="000000" w:sz="2" w:space="0"/>
            <w:left w:val="single" w:color="000000" w:sz="2" w:space="0"/>
            <w:bottom w:val="single" w:color="000000" w:sz="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68" w:type="dxa"/>
            <w:vMerge w:val="continue"/>
            <w:tcBorders>
              <w:left w:val="nil"/>
              <w:bottom w:val="single" w:color="000000" w:sz="10" w:space="0"/>
            </w:tcBorders>
            <w:shd w:val="clear" w:color="auto" w:fill="auto"/>
            <w:noWrap w:val="0"/>
            <w:vAlign w:val="center"/>
          </w:tcPr>
          <w:p w14:paraId="4D225864">
            <w:pPr>
              <w:pStyle w:val="23"/>
              <w:bidi w:val="0"/>
              <w:jc w:val="center"/>
              <w:rPr>
                <w:color w:val="auto"/>
              </w:rPr>
            </w:pPr>
          </w:p>
        </w:tc>
        <w:tc>
          <w:tcPr>
            <w:tcW w:w="3266" w:type="dxa"/>
            <w:tcBorders>
              <w:bottom w:val="single" w:color="000000" w:sz="10" w:space="0"/>
            </w:tcBorders>
            <w:shd w:val="clear" w:color="auto" w:fill="auto"/>
            <w:noWrap w:val="0"/>
            <w:vAlign w:val="center"/>
          </w:tcPr>
          <w:p w14:paraId="39C4AB84">
            <w:pPr>
              <w:pStyle w:val="23"/>
              <w:bidi w:val="0"/>
              <w:jc w:val="left"/>
              <w:rPr>
                <w:color w:val="auto"/>
              </w:rPr>
            </w:pPr>
            <w:r>
              <w:rPr>
                <w:color w:val="auto"/>
              </w:rPr>
              <w:t>13.事故废水暂存能力或拦截设施变化，导致环境风险防范能力弱化或降低的。</w:t>
            </w:r>
          </w:p>
        </w:tc>
        <w:tc>
          <w:tcPr>
            <w:tcW w:w="3245" w:type="dxa"/>
            <w:tcBorders>
              <w:bottom w:val="single" w:color="000000" w:sz="10" w:space="0"/>
            </w:tcBorders>
            <w:noWrap w:val="0"/>
            <w:vAlign w:val="center"/>
          </w:tcPr>
          <w:p w14:paraId="08AB7B0E">
            <w:pPr>
              <w:pStyle w:val="23"/>
              <w:bidi w:val="0"/>
              <w:rPr>
                <w:rFonts w:hint="eastAsia"/>
                <w:color w:val="auto"/>
                <w:lang w:val="en-US" w:eastAsia="zh-CN"/>
              </w:rPr>
            </w:pPr>
            <w:r>
              <w:rPr>
                <w:rFonts w:hint="eastAsia" w:eastAsia="宋体"/>
                <w:color w:val="auto"/>
                <w:szCs w:val="21"/>
                <w:highlight w:val="none"/>
                <w:u w:val="none"/>
                <w:lang w:val="en-US" w:eastAsia="zh-CN"/>
              </w:rPr>
              <w:t>新建一座277m</w:t>
            </w:r>
            <w:r>
              <w:rPr>
                <w:rFonts w:hint="eastAsia" w:eastAsia="宋体"/>
                <w:color w:val="auto"/>
                <w:szCs w:val="21"/>
                <w:highlight w:val="none"/>
                <w:u w:val="none"/>
                <w:vertAlign w:val="superscript"/>
                <w:lang w:val="en-US" w:eastAsia="zh-CN"/>
              </w:rPr>
              <w:t>3</w:t>
            </w:r>
            <w:r>
              <w:rPr>
                <w:rFonts w:hint="eastAsia" w:eastAsia="宋体"/>
                <w:color w:val="auto"/>
                <w:szCs w:val="21"/>
                <w:highlight w:val="none"/>
                <w:u w:val="none"/>
                <w:vertAlign w:val="baseline"/>
                <w:lang w:val="en-US" w:eastAsia="zh-CN"/>
              </w:rPr>
              <w:t>事故应急池。</w:t>
            </w:r>
          </w:p>
        </w:tc>
        <w:tc>
          <w:tcPr>
            <w:tcW w:w="3104" w:type="dxa"/>
            <w:tcBorders>
              <w:bottom w:val="single" w:color="000000" w:sz="10" w:space="0"/>
            </w:tcBorders>
            <w:noWrap w:val="0"/>
            <w:vAlign w:val="center"/>
          </w:tcPr>
          <w:p w14:paraId="5E8EC414">
            <w:pPr>
              <w:pStyle w:val="23"/>
              <w:bidi w:val="0"/>
              <w:rPr>
                <w:rFonts w:hint="eastAsia"/>
                <w:color w:val="auto"/>
                <w:lang w:val="en-US" w:eastAsia="zh-CN"/>
              </w:rPr>
            </w:pPr>
            <w:r>
              <w:rPr>
                <w:rFonts w:hint="eastAsia" w:cs="Times New Roman"/>
                <w:color w:val="auto"/>
                <w:lang w:val="en-US" w:eastAsia="zh-CN"/>
              </w:rPr>
              <w:t>依托现有应急池120m³（地下）</w:t>
            </w:r>
            <w:r>
              <w:rPr>
                <w:rFonts w:hint="default" w:ascii="Times New Roman" w:hAnsi="Times New Roman" w:cs="Times New Roman"/>
                <w:color w:val="auto"/>
              </w:rPr>
              <w:t>新建应急池</w:t>
            </w:r>
            <w:r>
              <w:rPr>
                <w:rFonts w:hint="default" w:ascii="Times New Roman" w:hAnsi="Times New Roman" w:cs="Times New Roman"/>
                <w:color w:val="auto"/>
                <w:lang w:val="en-US" w:eastAsia="zh-CN"/>
              </w:rPr>
              <w:t>100m³</w:t>
            </w:r>
            <w:r>
              <w:rPr>
                <w:rFonts w:hint="eastAsia" w:cs="Times New Roman"/>
                <w:color w:val="auto"/>
                <w:lang w:val="en-US" w:eastAsia="zh-CN"/>
              </w:rPr>
              <w:t>（地面）</w:t>
            </w:r>
          </w:p>
        </w:tc>
        <w:tc>
          <w:tcPr>
            <w:tcW w:w="2647" w:type="dxa"/>
            <w:tcBorders>
              <w:bottom w:val="single" w:color="000000" w:sz="10" w:space="0"/>
            </w:tcBorders>
            <w:noWrap w:val="0"/>
            <w:vAlign w:val="center"/>
          </w:tcPr>
          <w:p w14:paraId="427271BB">
            <w:pPr>
              <w:pStyle w:val="23"/>
              <w:bidi w:val="0"/>
              <w:jc w:val="left"/>
              <w:rPr>
                <w:color w:val="auto"/>
              </w:rPr>
            </w:pPr>
            <w:r>
              <w:rPr>
                <w:rFonts w:hint="eastAsia"/>
                <w:color w:val="auto"/>
                <w:lang w:val="en-US" w:eastAsia="zh-CN"/>
              </w:rPr>
              <w:t>根据4.2.1节</w:t>
            </w:r>
            <w:r>
              <w:rPr>
                <w:rFonts w:hint="eastAsia" w:ascii="Times New Roman" w:hAnsi="Times New Roman" w:eastAsia="宋体" w:cs="Times New Roman"/>
                <w:color w:val="auto"/>
                <w:lang w:val="en-US" w:eastAsia="zh-CN"/>
              </w:rPr>
              <w:t>环境风险防范措施计算可知，项目事故废水量为174.34m³，本项目事故废水池容积为220m³，可以满足事故废水暂存，不会对厂区外的环境造成明显的影响，未导致环境风险防范能力</w:t>
            </w:r>
            <w:r>
              <w:rPr>
                <w:rFonts w:hint="eastAsia"/>
                <w:color w:val="auto"/>
                <w:lang w:val="en-US" w:eastAsia="zh-CN"/>
              </w:rPr>
              <w:t>未弱化或降低</w:t>
            </w:r>
            <w:r>
              <w:rPr>
                <w:color w:val="auto"/>
              </w:rPr>
              <w:t>。</w:t>
            </w:r>
          </w:p>
        </w:tc>
        <w:tc>
          <w:tcPr>
            <w:tcW w:w="1043" w:type="dxa"/>
            <w:tcBorders>
              <w:bottom w:val="single" w:color="000000" w:sz="10" w:space="0"/>
              <w:right w:val="nil"/>
            </w:tcBorders>
            <w:noWrap w:val="0"/>
            <w:vAlign w:val="center"/>
          </w:tcPr>
          <w:p w14:paraId="497B3E29">
            <w:pPr>
              <w:pStyle w:val="23"/>
              <w:bidi w:val="0"/>
              <w:jc w:val="center"/>
              <w:rPr>
                <w:rFonts w:hint="eastAsia" w:eastAsia="宋体"/>
                <w:color w:val="auto"/>
                <w:lang w:val="en-US" w:eastAsia="zh-CN"/>
              </w:rPr>
            </w:pPr>
            <w:r>
              <w:rPr>
                <w:rFonts w:hint="eastAsia"/>
                <w:color w:val="auto"/>
                <w:lang w:val="en-US" w:eastAsia="zh-CN"/>
              </w:rPr>
              <w:t>否</w:t>
            </w:r>
          </w:p>
        </w:tc>
      </w:tr>
    </w:tbl>
    <w:p w14:paraId="7733C81B">
      <w:pPr>
        <w:rPr>
          <w:rFonts w:hint="default"/>
          <w:color w:val="auto"/>
          <w:lang w:val="en-US" w:eastAsia="zh-CN"/>
        </w:rPr>
        <w:sectPr>
          <w:pgSz w:w="16839" w:h="11907" w:orient="landscape"/>
          <w:pgMar w:top="1701" w:right="1701" w:bottom="1417" w:left="1701" w:header="1078" w:footer="992" w:gutter="0"/>
          <w:pgNumType w:fmt="decimal"/>
          <w:cols w:space="720" w:num="1"/>
        </w:sectPr>
      </w:pPr>
    </w:p>
    <w:p w14:paraId="42C6A453">
      <w:pPr>
        <w:pStyle w:val="2"/>
        <w:keepNext/>
        <w:keepLines/>
        <w:pageBreakBefore/>
        <w:widowControl/>
        <w:kinsoku w:val="0"/>
        <w:wordWrap/>
        <w:overflowPunct/>
        <w:topLinePunct w:val="0"/>
        <w:autoSpaceDE/>
        <w:autoSpaceDN/>
        <w:bidi w:val="0"/>
        <w:adjustRightInd w:val="0"/>
        <w:snapToGrid w:val="0"/>
        <w:spacing w:before="0" w:beforeLines="0"/>
        <w:textAlignment w:val="baseline"/>
        <w:rPr>
          <w:rFonts w:hint="default" w:ascii="Times New Roman" w:hAnsi="Times New Roman" w:eastAsia="宋体" w:cs="Times New Roman"/>
          <w:color w:val="auto"/>
          <w:lang w:val="en-US" w:eastAsia="zh-CN"/>
        </w:rPr>
      </w:pPr>
      <w:bookmarkStart w:id="28" w:name="_Toc12740"/>
      <w:r>
        <w:rPr>
          <w:rFonts w:hint="default" w:ascii="Times New Roman" w:hAnsi="Times New Roman" w:cs="Times New Roman"/>
          <w:color w:val="auto"/>
        </w:rPr>
        <w:t>4</w:t>
      </w:r>
      <w:r>
        <w:rPr>
          <w:rFonts w:hint="default" w:ascii="Times New Roman" w:hAnsi="Times New Roman" w:cs="Times New Roman"/>
          <w:color w:val="auto"/>
          <w:lang w:val="en-US" w:eastAsia="zh-CN"/>
        </w:rPr>
        <w:t>环境保护设施</w:t>
      </w:r>
      <w:bookmarkEnd w:id="28"/>
    </w:p>
    <w:p w14:paraId="0D907D8C">
      <w:pPr>
        <w:pStyle w:val="3"/>
        <w:keepNext/>
        <w:keepLines/>
        <w:pageBreakBefore w:val="0"/>
        <w:widowControl/>
        <w:kinsoku w:val="0"/>
        <w:wordWrap/>
        <w:overflowPunct/>
        <w:topLinePunct w:val="0"/>
        <w:autoSpaceDE/>
        <w:autoSpaceDN/>
        <w:bidi w:val="0"/>
        <w:adjustRightInd w:val="0"/>
        <w:snapToGrid w:val="0"/>
        <w:spacing w:before="0" w:beforeLines="0"/>
        <w:textAlignment w:val="baseline"/>
        <w:rPr>
          <w:rFonts w:hint="default" w:ascii="Times New Roman" w:hAnsi="Times New Roman" w:cs="Times New Roman"/>
          <w:color w:val="auto"/>
        </w:rPr>
      </w:pPr>
      <w:bookmarkStart w:id="29" w:name="_Toc13359"/>
      <w:r>
        <w:rPr>
          <w:rFonts w:hint="default" w:ascii="Times New Roman" w:hAnsi="Times New Roman" w:cs="Times New Roman"/>
          <w:color w:val="auto"/>
        </w:rPr>
        <w:t>4.1污染物治理/处置设施</w:t>
      </w:r>
      <w:bookmarkEnd w:id="29"/>
    </w:p>
    <w:p w14:paraId="3B20FA3B">
      <w:pPr>
        <w:pStyle w:val="4"/>
        <w:keepNext/>
        <w:keepLines/>
        <w:pageBreakBefore w:val="0"/>
        <w:widowControl/>
        <w:kinsoku w:val="0"/>
        <w:wordWrap/>
        <w:overflowPunct/>
        <w:topLinePunct w:val="0"/>
        <w:autoSpaceDE/>
        <w:autoSpaceDN/>
        <w:bidi w:val="0"/>
        <w:adjustRightInd w:val="0"/>
        <w:snapToGrid w:val="0"/>
        <w:textAlignment w:val="baseline"/>
        <w:rPr>
          <w:rFonts w:hint="default" w:ascii="Times New Roman" w:hAnsi="Times New Roman" w:cs="Times New Roman"/>
          <w:color w:val="auto"/>
        </w:rPr>
      </w:pPr>
      <w:bookmarkStart w:id="30" w:name="_Toc31621"/>
      <w:r>
        <w:rPr>
          <w:rFonts w:hint="default" w:ascii="Times New Roman" w:hAnsi="Times New Roman" w:cs="Times New Roman"/>
          <w:color w:val="auto"/>
        </w:rPr>
        <w:t>4.1.1废水</w:t>
      </w:r>
      <w:bookmarkEnd w:id="30"/>
    </w:p>
    <w:p w14:paraId="265D94AC">
      <w:pPr>
        <w:bidi w:val="0"/>
        <w:rPr>
          <w:rFonts w:hint="default" w:ascii="Times New Roman" w:hAnsi="Times New Roman" w:cs="Times New Roman"/>
          <w:color w:val="auto"/>
        </w:rPr>
      </w:pPr>
      <w:r>
        <w:rPr>
          <w:rFonts w:hint="default" w:ascii="Times New Roman" w:hAnsi="Times New Roman" w:cs="Times New Roman"/>
          <w:color w:val="auto"/>
          <w:lang w:eastAsia="zh-CN"/>
        </w:rPr>
        <w:t>改扩建</w:t>
      </w:r>
      <w:r>
        <w:rPr>
          <w:rFonts w:hint="default" w:ascii="Times New Roman" w:hAnsi="Times New Roman" w:cs="Times New Roman"/>
          <w:color w:val="auto"/>
        </w:rPr>
        <w:t>工程用水主要包括预处理车间工艺用水、车间和运输车辆冲洗水等。本工程</w:t>
      </w:r>
      <w:r>
        <w:rPr>
          <w:rFonts w:hint="default" w:ascii="Times New Roman" w:hAnsi="Times New Roman" w:cs="Times New Roman"/>
          <w:color w:val="auto"/>
          <w:lang w:eastAsia="zh-CN"/>
        </w:rPr>
        <w:t>废水</w:t>
      </w:r>
      <w:r>
        <w:rPr>
          <w:rFonts w:hint="default" w:ascii="Times New Roman" w:hAnsi="Times New Roman" w:cs="Times New Roman"/>
          <w:color w:val="auto"/>
        </w:rPr>
        <w:t>产生、治理及外排情况见表4</w:t>
      </w:r>
      <w:r>
        <w:rPr>
          <w:rFonts w:hint="default" w:ascii="Times New Roman" w:hAnsi="Times New Roman" w:cs="Times New Roman"/>
          <w:color w:val="auto"/>
          <w:lang w:val="en-US" w:eastAsia="zh-CN"/>
        </w:rPr>
        <w:t>.1</w:t>
      </w:r>
      <w:r>
        <w:rPr>
          <w:rFonts w:hint="default" w:ascii="Times New Roman" w:hAnsi="Times New Roman" w:cs="Times New Roman"/>
          <w:color w:val="auto"/>
        </w:rPr>
        <w:t>-1</w:t>
      </w:r>
      <w:r>
        <w:rPr>
          <w:rFonts w:hint="default" w:ascii="Times New Roman" w:hAnsi="Times New Roman" w:cs="Times New Roman"/>
          <w:color w:val="auto"/>
          <w:lang w:eastAsia="zh-CN"/>
        </w:rPr>
        <w:t>，污水处理设施图见图</w:t>
      </w:r>
      <w:r>
        <w:rPr>
          <w:rFonts w:hint="default" w:ascii="Times New Roman" w:hAnsi="Times New Roman" w:cs="Times New Roman"/>
          <w:color w:val="auto"/>
          <w:lang w:val="en-US" w:eastAsia="zh-CN"/>
        </w:rPr>
        <w:t>4.1-1~4.1-</w:t>
      </w:r>
      <w:r>
        <w:rPr>
          <w:rFonts w:hint="eastAsia" w:cs="Times New Roman"/>
          <w:color w:val="auto"/>
          <w:lang w:val="en-US" w:eastAsia="zh-CN"/>
        </w:rPr>
        <w:t>4</w:t>
      </w:r>
      <w:r>
        <w:rPr>
          <w:rFonts w:hint="default" w:ascii="Times New Roman" w:hAnsi="Times New Roman" w:cs="Times New Roman"/>
          <w:color w:val="auto"/>
          <w:lang w:val="en-US" w:eastAsia="zh-CN"/>
        </w:rPr>
        <w:t>。</w:t>
      </w:r>
    </w:p>
    <w:p w14:paraId="113877E1">
      <w:pPr>
        <w:rPr>
          <w:rFonts w:hint="default" w:ascii="Times New Roman" w:hAnsi="Times New Roman" w:cs="Times New Roman"/>
          <w:color w:val="auto"/>
        </w:rPr>
      </w:pPr>
      <w:r>
        <w:rPr>
          <w:rFonts w:hint="default" w:ascii="Times New Roman" w:hAnsi="Times New Roman" w:cs="Times New Roman"/>
          <w:color w:val="auto"/>
        </w:rPr>
        <w:t>（1）生活</w:t>
      </w:r>
      <w:r>
        <w:rPr>
          <w:rFonts w:hint="default" w:ascii="Times New Roman" w:hAnsi="Times New Roman" w:cs="Times New Roman"/>
          <w:color w:val="auto"/>
          <w:lang w:val="en-US" w:eastAsia="zh-CN"/>
        </w:rPr>
        <w:t>污</w:t>
      </w:r>
      <w:r>
        <w:rPr>
          <w:rFonts w:hint="default" w:ascii="Times New Roman" w:hAnsi="Times New Roman" w:cs="Times New Roman"/>
          <w:color w:val="auto"/>
        </w:rPr>
        <w:t>水</w:t>
      </w:r>
    </w:p>
    <w:p w14:paraId="25A62CDB">
      <w:pPr>
        <w:rPr>
          <w:rFonts w:hint="default" w:ascii="Times New Roman" w:hAnsi="Times New Roman" w:cs="Times New Roman"/>
          <w:color w:val="auto"/>
        </w:rPr>
      </w:pPr>
      <w:r>
        <w:rPr>
          <w:rFonts w:hint="eastAsia" w:cs="Times New Roman"/>
          <w:color w:val="auto"/>
          <w:lang w:val="en-US" w:eastAsia="zh-CN"/>
        </w:rPr>
        <w:t>扩建</w:t>
      </w:r>
      <w:r>
        <w:rPr>
          <w:rFonts w:hint="default" w:ascii="Times New Roman" w:hAnsi="Times New Roman" w:cs="Times New Roman"/>
          <w:color w:val="auto"/>
          <w:lang w:eastAsia="zh-CN"/>
        </w:rPr>
        <w:t>项目</w:t>
      </w:r>
      <w:r>
        <w:rPr>
          <w:rFonts w:hint="default" w:ascii="Times New Roman" w:hAnsi="Times New Roman" w:cs="Times New Roman"/>
          <w:color w:val="auto"/>
          <w:lang w:val="en-US" w:eastAsia="zh-CN"/>
        </w:rPr>
        <w:t>未</w:t>
      </w:r>
      <w:r>
        <w:rPr>
          <w:rFonts w:hint="default" w:ascii="Times New Roman" w:hAnsi="Times New Roman" w:cs="Times New Roman"/>
          <w:color w:val="auto"/>
          <w:lang w:eastAsia="zh-CN"/>
        </w:rPr>
        <w:t>新增</w:t>
      </w:r>
      <w:r>
        <w:rPr>
          <w:rFonts w:hint="default" w:ascii="Times New Roman" w:hAnsi="Times New Roman" w:cs="Times New Roman"/>
          <w:color w:val="auto"/>
        </w:rPr>
        <w:t>员工</w:t>
      </w:r>
      <w:r>
        <w:rPr>
          <w:rFonts w:hint="eastAsia" w:cs="Times New Roman"/>
          <w:color w:val="auto"/>
          <w:lang w:eastAsia="zh-CN"/>
        </w:rPr>
        <w:t>，</w:t>
      </w:r>
      <w:r>
        <w:rPr>
          <w:rFonts w:hint="default" w:ascii="Times New Roman" w:hAnsi="Times New Roman" w:cs="Times New Roman"/>
          <w:color w:val="auto"/>
          <w:lang w:val="en-US" w:eastAsia="zh-CN"/>
        </w:rPr>
        <w:t>不新增生活污水产生量</w:t>
      </w:r>
      <w:r>
        <w:rPr>
          <w:rFonts w:hint="eastAsia" w:cs="Times New Roman"/>
          <w:color w:val="auto"/>
          <w:lang w:val="en-US" w:eastAsia="zh-CN"/>
        </w:rPr>
        <w:t>，全厂</w:t>
      </w:r>
      <w:r>
        <w:rPr>
          <w:rFonts w:hint="eastAsia" w:ascii="Times New Roman" w:hAnsi="Times New Roman"/>
          <w:color w:val="auto"/>
          <w:u w:val="none"/>
        </w:rPr>
        <w:t>生活污水经化粪池处理达到《污水综合排放标准》的三级排放标准后，通过市政管网纳入福州市洋里污水处理厂</w:t>
      </w:r>
      <w:r>
        <w:rPr>
          <w:rFonts w:hint="default" w:ascii="Times New Roman" w:hAnsi="Times New Roman" w:cs="Times New Roman"/>
          <w:color w:val="auto"/>
        </w:rPr>
        <w:t>。</w:t>
      </w:r>
    </w:p>
    <w:p w14:paraId="069E9E96">
      <w:pPr>
        <w:rPr>
          <w:rFonts w:hint="default" w:ascii="Times New Roman" w:hAnsi="Times New Roman" w:cs="Times New Roman"/>
          <w:color w:val="auto"/>
        </w:rPr>
      </w:pPr>
      <w:r>
        <w:rPr>
          <w:rFonts w:hint="default" w:ascii="Times New Roman" w:hAnsi="Times New Roman" w:cs="Times New Roman"/>
          <w:color w:val="auto"/>
        </w:rPr>
        <w:t>（2）生产废水</w:t>
      </w:r>
    </w:p>
    <w:p w14:paraId="4E9C1573">
      <w:pPr>
        <w:bidi w:val="0"/>
        <w:rPr>
          <w:rFonts w:hint="default" w:ascii="Times New Roman" w:hAnsi="Times New Roman" w:cs="Times New Roman"/>
          <w:color w:val="auto"/>
        </w:rPr>
      </w:pPr>
      <w:r>
        <w:rPr>
          <w:rFonts w:hint="default" w:ascii="Times New Roman" w:hAnsi="Times New Roman" w:cs="Times New Roman"/>
          <w:color w:val="auto"/>
          <w:lang w:eastAsia="zh-CN"/>
        </w:rPr>
        <w:t>其</w:t>
      </w:r>
      <w:r>
        <w:rPr>
          <w:rFonts w:hint="default" w:ascii="Times New Roman" w:hAnsi="Times New Roman" w:cs="Times New Roman"/>
          <w:color w:val="auto"/>
        </w:rPr>
        <w:t>车间冲洗水</w:t>
      </w:r>
      <w:r>
        <w:rPr>
          <w:rFonts w:hint="default" w:ascii="Times New Roman" w:hAnsi="Times New Roman" w:cs="Times New Roman"/>
          <w:color w:val="auto"/>
          <w:lang w:eastAsia="zh-CN"/>
        </w:rPr>
        <w:t>、</w:t>
      </w:r>
      <w:r>
        <w:rPr>
          <w:rFonts w:hint="default" w:ascii="Times New Roman" w:hAnsi="Times New Roman" w:cs="Times New Roman"/>
          <w:color w:val="auto"/>
        </w:rPr>
        <w:t>运输车辆冲洗水等生产废水由厂区内沟槽收集至沉淀池，经过沉淀池固液分离</w:t>
      </w:r>
      <w:r>
        <w:rPr>
          <w:rFonts w:hint="default" w:ascii="Times New Roman" w:hAnsi="Times New Roman" w:cs="Times New Roman"/>
          <w:color w:val="auto"/>
          <w:highlight w:val="none"/>
        </w:rPr>
        <w:t>，上层清液</w:t>
      </w:r>
      <w:r>
        <w:rPr>
          <w:rFonts w:hint="default" w:ascii="Times New Roman" w:hAnsi="Times New Roman" w:cs="Times New Roman"/>
          <w:color w:val="auto"/>
          <w:highlight w:val="none"/>
          <w:lang w:val="en-US" w:eastAsia="zh-CN"/>
        </w:rPr>
        <w:t>抽至生产线回用</w:t>
      </w:r>
      <w:r>
        <w:rPr>
          <w:rFonts w:hint="default" w:ascii="Times New Roman" w:hAnsi="Times New Roman" w:cs="Times New Roman"/>
          <w:color w:val="auto"/>
          <w:highlight w:val="none"/>
        </w:rPr>
        <w:t>，按飞灰、螯合</w:t>
      </w:r>
      <w:r>
        <w:rPr>
          <w:rFonts w:hint="default" w:ascii="Times New Roman" w:hAnsi="Times New Roman" w:cs="Times New Roman"/>
          <w:color w:val="auto"/>
        </w:rPr>
        <w:t>剂、水的物料配比添加入搅拌机中回用于生产，不外排；项目产生的废水主要污染物为pH、SS</w:t>
      </w:r>
      <w:r>
        <w:rPr>
          <w:rFonts w:hint="eastAsia" w:cs="Times New Roman"/>
          <w:color w:val="auto"/>
          <w:lang w:eastAsia="zh-CN"/>
        </w:rPr>
        <w:t>、</w:t>
      </w:r>
      <w:r>
        <w:rPr>
          <w:rFonts w:hint="default" w:ascii="Times New Roman" w:hAnsi="Times New Roman" w:cs="Times New Roman"/>
          <w:color w:val="auto"/>
        </w:rPr>
        <w:t>汞、镉、铅、锌等重金属</w:t>
      </w:r>
      <w:r>
        <w:rPr>
          <w:rFonts w:hint="eastAsia" w:cs="Times New Roman"/>
          <w:color w:val="auto"/>
          <w:lang w:eastAsia="zh-CN"/>
        </w:rPr>
        <w:t>，</w:t>
      </w:r>
      <w:r>
        <w:rPr>
          <w:rFonts w:hint="default" w:ascii="Times New Roman" w:hAnsi="Times New Roman" w:cs="Times New Roman"/>
          <w:color w:val="auto"/>
        </w:rPr>
        <w:t>均能得到合理有效的处置。</w:t>
      </w:r>
    </w:p>
    <w:p w14:paraId="3216F05A">
      <w:pPr>
        <w:pStyle w:val="21"/>
        <w:keepNext w:val="0"/>
        <w:keepLines w:val="0"/>
        <w:pageBreakBefore w:val="0"/>
        <w:widowControl/>
        <w:kinsoku w:val="0"/>
        <w:wordWrap/>
        <w:overflowPunct/>
        <w:topLinePunct w:val="0"/>
        <w:autoSpaceDE/>
        <w:autoSpaceDN/>
        <w:bidi w:val="0"/>
        <w:adjustRightInd w:val="0"/>
        <w:snapToGrid w:val="0"/>
        <w:spacing w:before="0" w:beforeLines="0"/>
        <w:textAlignment w:val="baseline"/>
        <w:rPr>
          <w:rFonts w:hint="default" w:ascii="Times New Roman" w:hAnsi="Times New Roman" w:cs="Times New Roman"/>
          <w:color w:val="auto"/>
        </w:rPr>
      </w:pPr>
      <w:r>
        <w:rPr>
          <w:rFonts w:hint="default" w:ascii="Times New Roman" w:hAnsi="Times New Roman" w:cs="Times New Roman"/>
          <w:color w:val="auto"/>
        </w:rPr>
        <w:t>表4</w:t>
      </w:r>
      <w:r>
        <w:rPr>
          <w:rFonts w:hint="default" w:ascii="Times New Roman" w:hAnsi="Times New Roman" w:cs="Times New Roman"/>
          <w:color w:val="auto"/>
          <w:lang w:val="en-US" w:eastAsia="zh-CN"/>
        </w:rPr>
        <w:t>.1</w:t>
      </w:r>
      <w:r>
        <w:rPr>
          <w:rFonts w:hint="default" w:ascii="Times New Roman" w:hAnsi="Times New Roman" w:cs="Times New Roman"/>
          <w:color w:val="auto"/>
        </w:rPr>
        <w:t>-1</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废水产生、治理及外排情况</w:t>
      </w:r>
    </w:p>
    <w:tbl>
      <w:tblPr>
        <w:tblStyle w:val="20"/>
        <w:tblW w:w="9071" w:type="dxa"/>
        <w:jc w:val="center"/>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16"/>
        <w:gridCol w:w="1403"/>
        <w:gridCol w:w="1378"/>
        <w:gridCol w:w="1381"/>
        <w:gridCol w:w="1914"/>
        <w:gridCol w:w="1479"/>
      </w:tblGrid>
      <w:tr w14:paraId="0CA62D90">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jc w:val="center"/>
        </w:trPr>
        <w:tc>
          <w:tcPr>
            <w:tcW w:w="1485" w:type="dxa"/>
            <w:tcBorders>
              <w:left w:val="nil"/>
            </w:tcBorders>
            <w:vAlign w:val="center"/>
          </w:tcPr>
          <w:p w14:paraId="0CBA3D67">
            <w:pPr>
              <w:pStyle w:val="23"/>
              <w:bidi w:val="0"/>
              <w:jc w:val="center"/>
              <w:rPr>
                <w:rFonts w:hint="default" w:ascii="Times New Roman" w:hAnsi="Times New Roman" w:cs="Times New Roman"/>
                <w:color w:val="auto"/>
              </w:rPr>
            </w:pPr>
            <w:r>
              <w:rPr>
                <w:rFonts w:hint="default" w:ascii="Times New Roman" w:hAnsi="Times New Roman" w:cs="Times New Roman"/>
                <w:color w:val="auto"/>
                <w:lang w:eastAsia="zh-CN"/>
              </w:rPr>
              <w:t>废水</w:t>
            </w:r>
            <w:r>
              <w:rPr>
                <w:rFonts w:hint="default" w:ascii="Times New Roman" w:hAnsi="Times New Roman" w:cs="Times New Roman"/>
                <w:color w:val="auto"/>
              </w:rPr>
              <w:t>类别</w:t>
            </w:r>
          </w:p>
        </w:tc>
        <w:tc>
          <w:tcPr>
            <w:tcW w:w="1374" w:type="dxa"/>
            <w:vAlign w:val="center"/>
          </w:tcPr>
          <w:p w14:paraId="21693C54">
            <w:pPr>
              <w:pStyle w:val="23"/>
              <w:bidi w:val="0"/>
              <w:jc w:val="center"/>
              <w:rPr>
                <w:rFonts w:hint="default" w:ascii="Times New Roman" w:hAnsi="Times New Roman" w:cs="Times New Roman"/>
                <w:color w:val="auto"/>
              </w:rPr>
            </w:pPr>
            <w:r>
              <w:rPr>
                <w:rFonts w:hint="default" w:ascii="Times New Roman" w:hAnsi="Times New Roman" w:cs="Times New Roman"/>
                <w:color w:val="auto"/>
              </w:rPr>
              <w:t>来源</w:t>
            </w:r>
          </w:p>
        </w:tc>
        <w:tc>
          <w:tcPr>
            <w:tcW w:w="1350" w:type="dxa"/>
            <w:vAlign w:val="center"/>
          </w:tcPr>
          <w:p w14:paraId="1AC822AE">
            <w:pPr>
              <w:pStyle w:val="23"/>
              <w:bidi w:val="0"/>
              <w:jc w:val="center"/>
              <w:rPr>
                <w:rFonts w:hint="default" w:ascii="Times New Roman" w:hAnsi="Times New Roman" w:cs="Times New Roman"/>
                <w:color w:val="auto"/>
              </w:rPr>
            </w:pPr>
            <w:r>
              <w:rPr>
                <w:rFonts w:hint="default" w:ascii="Times New Roman" w:hAnsi="Times New Roman" w:cs="Times New Roman"/>
                <w:color w:val="auto"/>
              </w:rPr>
              <w:t>废水排放量</w:t>
            </w:r>
          </w:p>
        </w:tc>
        <w:tc>
          <w:tcPr>
            <w:tcW w:w="1353" w:type="dxa"/>
            <w:vAlign w:val="center"/>
          </w:tcPr>
          <w:p w14:paraId="37BE9FBB">
            <w:pPr>
              <w:pStyle w:val="23"/>
              <w:bidi w:val="0"/>
              <w:jc w:val="center"/>
              <w:rPr>
                <w:rFonts w:hint="default" w:ascii="Times New Roman" w:hAnsi="Times New Roman" w:cs="Times New Roman"/>
                <w:color w:val="auto"/>
              </w:rPr>
            </w:pPr>
            <w:r>
              <w:rPr>
                <w:rFonts w:hint="default" w:ascii="Times New Roman" w:hAnsi="Times New Roman" w:cs="Times New Roman"/>
                <w:color w:val="auto"/>
              </w:rPr>
              <w:t>主要污染物</w:t>
            </w:r>
          </w:p>
        </w:tc>
        <w:tc>
          <w:tcPr>
            <w:tcW w:w="1874" w:type="dxa"/>
            <w:vAlign w:val="center"/>
          </w:tcPr>
          <w:p w14:paraId="3C016EE8">
            <w:pPr>
              <w:pStyle w:val="23"/>
              <w:bidi w:val="0"/>
              <w:jc w:val="center"/>
              <w:rPr>
                <w:rFonts w:hint="default" w:ascii="Times New Roman" w:hAnsi="Times New Roman" w:cs="Times New Roman"/>
                <w:color w:val="auto"/>
              </w:rPr>
            </w:pPr>
            <w:r>
              <w:rPr>
                <w:rFonts w:hint="default" w:ascii="Times New Roman" w:hAnsi="Times New Roman" w:cs="Times New Roman"/>
                <w:color w:val="auto"/>
              </w:rPr>
              <w:t>治理措施</w:t>
            </w:r>
          </w:p>
        </w:tc>
        <w:tc>
          <w:tcPr>
            <w:tcW w:w="1448" w:type="dxa"/>
            <w:tcBorders>
              <w:right w:val="nil"/>
            </w:tcBorders>
            <w:vAlign w:val="center"/>
          </w:tcPr>
          <w:p w14:paraId="7EDD86BB">
            <w:pPr>
              <w:pStyle w:val="23"/>
              <w:bidi w:val="0"/>
              <w:jc w:val="center"/>
              <w:rPr>
                <w:rFonts w:hint="default" w:ascii="Times New Roman" w:hAnsi="Times New Roman" w:cs="Times New Roman"/>
                <w:color w:val="auto"/>
              </w:rPr>
            </w:pPr>
            <w:r>
              <w:rPr>
                <w:rFonts w:hint="default" w:ascii="Times New Roman" w:hAnsi="Times New Roman" w:cs="Times New Roman"/>
                <w:color w:val="auto"/>
              </w:rPr>
              <w:t>排放去向</w:t>
            </w:r>
          </w:p>
        </w:tc>
      </w:tr>
      <w:tr w14:paraId="55DBFF2B">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3" w:hRule="atLeast"/>
          <w:jc w:val="center"/>
        </w:trPr>
        <w:tc>
          <w:tcPr>
            <w:tcW w:w="1485" w:type="dxa"/>
            <w:tcBorders>
              <w:left w:val="nil"/>
            </w:tcBorders>
            <w:vAlign w:val="center"/>
          </w:tcPr>
          <w:p w14:paraId="28680A7E">
            <w:pPr>
              <w:pStyle w:val="23"/>
              <w:bidi w:val="0"/>
              <w:jc w:val="center"/>
              <w:rPr>
                <w:rFonts w:hint="default" w:ascii="Times New Roman" w:hAnsi="Times New Roman" w:cs="Times New Roman"/>
                <w:color w:val="auto"/>
              </w:rPr>
            </w:pPr>
            <w:r>
              <w:rPr>
                <w:rFonts w:hint="default" w:ascii="Times New Roman" w:hAnsi="Times New Roman" w:cs="Times New Roman"/>
                <w:color w:val="auto"/>
              </w:rPr>
              <w:t>生产废水</w:t>
            </w:r>
          </w:p>
        </w:tc>
        <w:tc>
          <w:tcPr>
            <w:tcW w:w="1374" w:type="dxa"/>
            <w:vAlign w:val="center"/>
          </w:tcPr>
          <w:p w14:paraId="0A85CC37">
            <w:pPr>
              <w:pStyle w:val="23"/>
              <w:bidi w:val="0"/>
              <w:jc w:val="center"/>
              <w:rPr>
                <w:rFonts w:hint="default" w:ascii="Times New Roman" w:hAnsi="Times New Roman" w:cs="Times New Roman"/>
                <w:color w:val="auto"/>
              </w:rPr>
            </w:pPr>
            <w:r>
              <w:rPr>
                <w:rFonts w:hint="default" w:ascii="Times New Roman" w:hAnsi="Times New Roman" w:cs="Times New Roman"/>
                <w:color w:val="auto"/>
              </w:rPr>
              <w:t>车间冲洗水</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运输车辆冲洗水</w:t>
            </w:r>
            <w:r>
              <w:rPr>
                <w:rFonts w:hint="default" w:ascii="Times New Roman" w:hAnsi="Times New Roman" w:cs="Times New Roman"/>
                <w:color w:val="auto"/>
              </w:rPr>
              <w:t>等</w:t>
            </w:r>
          </w:p>
        </w:tc>
        <w:tc>
          <w:tcPr>
            <w:tcW w:w="1350" w:type="dxa"/>
            <w:vAlign w:val="center"/>
          </w:tcPr>
          <w:p w14:paraId="6E4708E9">
            <w:pPr>
              <w:pStyle w:val="23"/>
              <w:bidi w:val="0"/>
              <w:jc w:val="center"/>
              <w:rPr>
                <w:rFonts w:hint="default" w:ascii="Times New Roman" w:hAnsi="Times New Roman" w:cs="Times New Roman"/>
                <w:color w:val="auto"/>
              </w:rPr>
            </w:pPr>
            <w:r>
              <w:rPr>
                <w:rFonts w:hint="default" w:ascii="Times New Roman" w:hAnsi="Times New Roman" w:cs="Times New Roman"/>
                <w:color w:val="auto"/>
              </w:rPr>
              <w:t>无</w:t>
            </w:r>
          </w:p>
        </w:tc>
        <w:tc>
          <w:tcPr>
            <w:tcW w:w="1353" w:type="dxa"/>
            <w:vAlign w:val="center"/>
          </w:tcPr>
          <w:p w14:paraId="584DE612">
            <w:pPr>
              <w:pStyle w:val="23"/>
              <w:bidi w:val="0"/>
              <w:jc w:val="center"/>
              <w:rPr>
                <w:rFonts w:hint="default" w:ascii="Times New Roman" w:hAnsi="Times New Roman" w:cs="Times New Roman"/>
                <w:color w:val="auto"/>
              </w:rPr>
            </w:pPr>
            <w:r>
              <w:rPr>
                <w:rFonts w:hint="default" w:ascii="Times New Roman" w:hAnsi="Times New Roman" w:cs="Times New Roman"/>
                <w:color w:val="auto"/>
              </w:rPr>
              <w:t>pH、SS、汞、镉、铅、锌等重金属</w:t>
            </w:r>
          </w:p>
        </w:tc>
        <w:tc>
          <w:tcPr>
            <w:tcW w:w="1874" w:type="dxa"/>
            <w:vAlign w:val="center"/>
          </w:tcPr>
          <w:p w14:paraId="5C2BA284">
            <w:pPr>
              <w:pStyle w:val="23"/>
              <w:bidi w:val="0"/>
              <w:jc w:val="center"/>
              <w:rPr>
                <w:rFonts w:hint="default" w:ascii="Times New Roman" w:hAnsi="Times New Roman" w:cs="Times New Roman"/>
                <w:color w:val="auto"/>
              </w:rPr>
            </w:pPr>
            <w:r>
              <w:rPr>
                <w:rFonts w:hint="default" w:ascii="Times New Roman" w:hAnsi="Times New Roman" w:cs="Times New Roman"/>
                <w:color w:val="auto"/>
              </w:rPr>
              <w:t>（1）关键部分采用耐腐的进口材料和设备、预处理地面采用水泥基渗透结晶性涂料防水层防渗。</w:t>
            </w:r>
          </w:p>
          <w:p w14:paraId="5F643A70">
            <w:pPr>
              <w:pStyle w:val="23"/>
              <w:bidi w:val="0"/>
              <w:jc w:val="center"/>
              <w:rPr>
                <w:rFonts w:hint="default" w:ascii="Times New Roman" w:hAnsi="Times New Roman" w:cs="Times New Roman"/>
                <w:color w:val="auto"/>
              </w:rPr>
            </w:pPr>
            <w:r>
              <w:rPr>
                <w:rFonts w:hint="default" w:ascii="Times New Roman" w:hAnsi="Times New Roman" w:cs="Times New Roman"/>
                <w:color w:val="auto"/>
              </w:rPr>
              <w:t>（2）回用于生产，不外排。</w:t>
            </w:r>
          </w:p>
        </w:tc>
        <w:tc>
          <w:tcPr>
            <w:tcW w:w="1448" w:type="dxa"/>
            <w:tcBorders>
              <w:right w:val="nil"/>
            </w:tcBorders>
            <w:vAlign w:val="center"/>
          </w:tcPr>
          <w:p w14:paraId="1D9DDD12">
            <w:pPr>
              <w:pStyle w:val="23"/>
              <w:bidi w:val="0"/>
              <w:jc w:val="center"/>
              <w:rPr>
                <w:rFonts w:hint="default" w:ascii="Times New Roman" w:hAnsi="Times New Roman" w:cs="Times New Roman"/>
                <w:color w:val="auto"/>
              </w:rPr>
            </w:pPr>
            <w:r>
              <w:rPr>
                <w:rFonts w:hint="default" w:ascii="Times New Roman" w:hAnsi="Times New Roman" w:cs="Times New Roman"/>
                <w:color w:val="auto"/>
              </w:rPr>
              <w:t>无</w:t>
            </w:r>
          </w:p>
        </w:tc>
      </w:tr>
    </w:tbl>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5"/>
        <w:gridCol w:w="4500"/>
      </w:tblGrid>
      <w:tr w14:paraId="6164F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5" w:type="dxa"/>
          </w:tcPr>
          <w:p w14:paraId="5B032939">
            <w:pPr>
              <w:pStyle w:val="24"/>
              <w:widowControl w:val="0"/>
              <w:bidi w:val="0"/>
              <w:rPr>
                <w:rFonts w:hint="default" w:ascii="Times New Roman" w:hAnsi="Times New Roman" w:cs="Times New Roman"/>
                <w:color w:val="auto"/>
                <w:vertAlign w:val="baseline"/>
                <w:lang w:eastAsia="zh-CN"/>
              </w:rPr>
            </w:pPr>
          </w:p>
        </w:tc>
        <w:tc>
          <w:tcPr>
            <w:tcW w:w="4500" w:type="dxa"/>
          </w:tcPr>
          <w:p w14:paraId="5A860488">
            <w:pPr>
              <w:pStyle w:val="24"/>
              <w:widowControl w:val="0"/>
              <w:bidi w:val="0"/>
              <w:rPr>
                <w:rFonts w:hint="default" w:ascii="Times New Roman" w:hAnsi="Times New Roman" w:cs="Times New Roman"/>
                <w:color w:val="auto"/>
                <w:vertAlign w:val="baseline"/>
                <w:lang w:eastAsia="zh-CN"/>
              </w:rPr>
            </w:pPr>
          </w:p>
        </w:tc>
      </w:tr>
      <w:tr w14:paraId="49298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5" w:type="dxa"/>
          </w:tcPr>
          <w:p w14:paraId="45B2EE09">
            <w:pPr>
              <w:pStyle w:val="25"/>
              <w:widowControl w:val="0"/>
              <w:bidi w:val="0"/>
              <w:rPr>
                <w:rFonts w:hint="default" w:ascii="Times New Roman" w:hAnsi="Times New Roman" w:cs="Times New Roman"/>
                <w:color w:val="auto"/>
                <w:lang w:eastAsia="zh-CN"/>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eastAsia" w:cs="Times New Roman"/>
                <w:color w:val="auto"/>
                <w:lang w:val="en-US" w:eastAsia="zh-CN"/>
              </w:rPr>
              <w:t>1</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厂区内收集</w:t>
            </w:r>
            <w:r>
              <w:rPr>
                <w:rFonts w:hint="eastAsia" w:ascii="Times New Roman" w:hAnsi="Times New Roman" w:cs="Times New Roman"/>
                <w:color w:val="auto"/>
                <w:lang w:val="en-US" w:eastAsia="zh-CN"/>
              </w:rPr>
              <w:t>沟</w:t>
            </w:r>
          </w:p>
        </w:tc>
        <w:tc>
          <w:tcPr>
            <w:tcW w:w="4500" w:type="dxa"/>
          </w:tcPr>
          <w:p w14:paraId="6EB92B20">
            <w:pPr>
              <w:pStyle w:val="25"/>
              <w:widowControl w:val="0"/>
              <w:bidi w:val="0"/>
              <w:rPr>
                <w:rFonts w:hint="default" w:ascii="Times New Roman" w:hAnsi="Times New Roman" w:cs="Times New Roman"/>
                <w:color w:val="auto"/>
                <w:lang w:eastAsia="zh-CN"/>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eastAsia" w:cs="Times New Roman"/>
                <w:color w:val="auto"/>
                <w:lang w:val="en-US" w:eastAsia="zh-CN"/>
              </w:rPr>
              <w:t>2</w:t>
            </w:r>
            <w:r>
              <w:rPr>
                <w:rFonts w:hint="default" w:ascii="Times New Roman" w:hAnsi="Times New Roman" w:cs="Times New Roman"/>
                <w:color w:val="auto"/>
              </w:rPr>
              <w:t xml:space="preserve"> 车间污水收集</w:t>
            </w:r>
            <w:r>
              <w:rPr>
                <w:rFonts w:hint="default" w:ascii="Times New Roman" w:hAnsi="Times New Roman" w:cs="Times New Roman"/>
                <w:color w:val="auto"/>
                <w:lang w:val="en-US" w:eastAsia="zh-CN"/>
              </w:rPr>
              <w:t>沉淀</w:t>
            </w:r>
            <w:r>
              <w:rPr>
                <w:rFonts w:hint="default" w:ascii="Times New Roman" w:hAnsi="Times New Roman" w:cs="Times New Roman"/>
                <w:color w:val="auto"/>
              </w:rPr>
              <w:t>池</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规格：长1.9m*宽1m*深1.7m</w:t>
            </w:r>
            <w:r>
              <w:rPr>
                <w:rFonts w:hint="default" w:ascii="Times New Roman" w:hAnsi="Times New Roman" w:cs="Times New Roman"/>
                <w:color w:val="auto"/>
                <w:lang w:eastAsia="zh-CN"/>
              </w:rPr>
              <w:t>）</w:t>
            </w:r>
          </w:p>
        </w:tc>
      </w:tr>
      <w:tr w14:paraId="323BE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5" w:type="dxa"/>
          </w:tcPr>
          <w:p w14:paraId="038843A1">
            <w:pPr>
              <w:pStyle w:val="24"/>
              <w:widowControl w:val="0"/>
              <w:bidi w:val="0"/>
              <w:rPr>
                <w:rFonts w:hint="eastAsia"/>
                <w:color w:val="auto"/>
                <w:lang w:eastAsia="zh-CN"/>
              </w:rPr>
            </w:pPr>
          </w:p>
        </w:tc>
        <w:tc>
          <w:tcPr>
            <w:tcW w:w="4500" w:type="dxa"/>
          </w:tcPr>
          <w:p w14:paraId="0D2BC51F">
            <w:pPr>
              <w:pStyle w:val="24"/>
              <w:widowControl w:val="0"/>
              <w:bidi w:val="0"/>
              <w:rPr>
                <w:rFonts w:hint="default" w:ascii="Times New Roman" w:hAnsi="Times New Roman" w:cs="Times New Roman"/>
                <w:color w:val="auto"/>
              </w:rPr>
            </w:pPr>
          </w:p>
        </w:tc>
      </w:tr>
      <w:tr w14:paraId="102A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5" w:type="dxa"/>
          </w:tcPr>
          <w:p w14:paraId="17BF5A96">
            <w:pPr>
              <w:pStyle w:val="25"/>
              <w:widowControl w:val="0"/>
              <w:bidi w:val="0"/>
              <w:rPr>
                <w:rFonts w:hint="default" w:ascii="Times New Roman" w:hAnsi="Times New Roman" w:cs="Times New Roman"/>
                <w:color w:val="auto"/>
                <w:lang w:val="en-US"/>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eastAsia" w:cs="Times New Roman"/>
                <w:color w:val="auto"/>
                <w:lang w:val="en-US" w:eastAsia="zh-CN"/>
              </w:rPr>
              <w:t>3</w:t>
            </w:r>
            <w:r>
              <w:rPr>
                <w:rFonts w:hint="default" w:ascii="Times New Roman" w:hAnsi="Times New Roman" w:cs="Times New Roman"/>
                <w:color w:val="auto"/>
              </w:rPr>
              <w:t xml:space="preserve"> </w:t>
            </w:r>
            <w:r>
              <w:rPr>
                <w:rFonts w:hint="eastAsia" w:cs="Times New Roman"/>
                <w:color w:val="auto"/>
                <w:lang w:val="en-US" w:eastAsia="zh-CN"/>
              </w:rPr>
              <w:t>回用水管</w:t>
            </w:r>
          </w:p>
        </w:tc>
        <w:tc>
          <w:tcPr>
            <w:tcW w:w="4500" w:type="dxa"/>
          </w:tcPr>
          <w:p w14:paraId="5E47E854">
            <w:pPr>
              <w:pStyle w:val="25"/>
              <w:widowControl w:val="0"/>
              <w:bidi w:val="0"/>
              <w:rPr>
                <w:rFonts w:hint="default" w:ascii="Times New Roman" w:hAnsi="Times New Roman" w:cs="Times New Roman"/>
                <w:color w:val="auto"/>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eastAsia" w:cs="Times New Roman"/>
                <w:color w:val="auto"/>
                <w:lang w:val="en-US" w:eastAsia="zh-CN"/>
              </w:rPr>
              <w:t>4</w:t>
            </w:r>
            <w:r>
              <w:rPr>
                <w:rFonts w:hint="default" w:ascii="Times New Roman" w:hAnsi="Times New Roman" w:cs="Times New Roman"/>
                <w:color w:val="auto"/>
              </w:rPr>
              <w:t xml:space="preserve"> </w:t>
            </w:r>
            <w:r>
              <w:rPr>
                <w:rFonts w:hint="default" w:ascii="Times New Roman" w:hAnsi="Times New Roman" w:cs="Times New Roman"/>
                <w:color w:val="auto"/>
                <w:lang w:eastAsia="zh-CN"/>
              </w:rPr>
              <w:t>化粪池</w:t>
            </w:r>
          </w:p>
        </w:tc>
      </w:tr>
    </w:tbl>
    <w:p w14:paraId="705CF77D">
      <w:pPr>
        <w:pStyle w:val="4"/>
        <w:bidi w:val="0"/>
        <w:rPr>
          <w:rFonts w:hint="default"/>
          <w:color w:val="auto"/>
        </w:rPr>
      </w:pPr>
      <w:bookmarkStart w:id="31" w:name="_Toc19951"/>
      <w:r>
        <w:rPr>
          <w:rFonts w:hint="default"/>
          <w:color w:val="auto"/>
        </w:rPr>
        <w:t>4.1.2废气</w:t>
      </w:r>
      <w:bookmarkEnd w:id="31"/>
    </w:p>
    <w:p w14:paraId="257A4C44">
      <w:pPr>
        <w:bidi w:val="0"/>
        <w:rPr>
          <w:rFonts w:hint="default" w:ascii="Times New Roman" w:hAnsi="Times New Roman" w:cs="Times New Roman"/>
          <w:color w:val="auto"/>
        </w:rPr>
      </w:pPr>
      <w:r>
        <w:rPr>
          <w:rFonts w:hint="default" w:ascii="Times New Roman" w:hAnsi="Times New Roman" w:cs="Times New Roman"/>
          <w:color w:val="auto"/>
        </w:rPr>
        <w:t>（1）废气处理措施</w:t>
      </w:r>
    </w:p>
    <w:p w14:paraId="42A5A40E">
      <w:pPr>
        <w:bidi w:val="0"/>
        <w:rPr>
          <w:rFonts w:hint="default" w:ascii="Times New Roman" w:hAnsi="Times New Roman" w:cs="Times New Roman"/>
          <w:color w:val="auto"/>
        </w:rPr>
      </w:pPr>
      <w:r>
        <w:rPr>
          <w:rFonts w:hint="default" w:ascii="Times New Roman" w:hAnsi="Times New Roman" w:cs="Times New Roman"/>
          <w:color w:val="auto"/>
        </w:rPr>
        <w:t>本项目采取的防治措施如下：</w:t>
      </w:r>
    </w:p>
    <w:p w14:paraId="3D7134B0">
      <w:pPr>
        <w:bidi w:val="0"/>
        <w:rPr>
          <w:rFonts w:hint="default" w:ascii="Times New Roman" w:hAnsi="Times New Roman" w:cs="Times New Roman"/>
          <w:color w:val="auto"/>
        </w:rPr>
      </w:pPr>
      <w:r>
        <w:rPr>
          <w:rFonts w:hint="default" w:ascii="Times New Roman" w:hAnsi="Times New Roman" w:cs="Times New Roman"/>
          <w:color w:val="auto"/>
        </w:rPr>
        <w:t>1）接收与贮存的污染防治：对于飞灰的贮存设施和输送、处理设备均采取密闭措施，利用气力输送，严格防止粉尘污染。在飞灰储仓的上方设置布袋除尘器，飞灰贮存过程中产生的废气经布袋除尘后通过</w:t>
      </w:r>
      <w:r>
        <w:rPr>
          <w:rFonts w:hint="default" w:ascii="Times New Roman" w:hAnsi="Times New Roman" w:cs="Times New Roman"/>
          <w:color w:val="auto"/>
          <w:lang w:eastAsia="zh-CN"/>
        </w:rPr>
        <w:t>排气筒G1（DA001）</w:t>
      </w:r>
      <w:r>
        <w:rPr>
          <w:rFonts w:hint="default" w:ascii="Times New Roman" w:hAnsi="Times New Roman" w:cs="Times New Roman"/>
          <w:color w:val="auto"/>
        </w:rPr>
        <w:t>（H=25m）引至厂房屋顶外有组织排放。</w:t>
      </w:r>
    </w:p>
    <w:p w14:paraId="0FE4AC49">
      <w:pPr>
        <w:bidi w:val="0"/>
        <w:rPr>
          <w:rFonts w:hint="default" w:ascii="Times New Roman" w:hAnsi="Times New Roman" w:cs="Times New Roman"/>
          <w:color w:val="auto"/>
        </w:rPr>
      </w:pPr>
      <w:r>
        <w:rPr>
          <w:rFonts w:hint="default" w:ascii="Times New Roman" w:hAnsi="Times New Roman" w:cs="Times New Roman"/>
          <w:color w:val="auto"/>
        </w:rPr>
        <w:t>2）搅拌和养护过程污染防治：飞灰搅拌过程在搅拌机中进行，飞灰筒仓-给料机、给料机-搅拌机各接口均为全封闭式结构，混炼搅拌过程粉尘不外溢，日常加强对设备维护；养护过程在养护区进行，养护区地面已做好防渗处理，吨袋打包过程不宜承接过满防止溢出吨袋，养护过程呈固化物状态，在养护过程中无粉尘产生。</w:t>
      </w:r>
    </w:p>
    <w:p w14:paraId="7569601C">
      <w:pPr>
        <w:bidi w:val="0"/>
        <w:rPr>
          <w:rFonts w:hint="default" w:ascii="Times New Roman" w:hAnsi="Times New Roman" w:cs="Times New Roman"/>
          <w:color w:val="auto"/>
        </w:rPr>
      </w:pPr>
      <w:r>
        <w:rPr>
          <w:rFonts w:hint="default" w:ascii="Times New Roman" w:hAnsi="Times New Roman" w:cs="Times New Roman"/>
          <w:color w:val="auto"/>
        </w:rPr>
        <w:t>3）稳定化预处理车间：为了避免扬尘污染，工艺上对物料采取密闭储藏，储罐上方顶部设置布袋除尘器，并采用气力输送等措施。</w:t>
      </w:r>
    </w:p>
    <w:p w14:paraId="3676E55F">
      <w:pPr>
        <w:bidi w:val="0"/>
        <w:rPr>
          <w:rFonts w:hint="default" w:ascii="Times New Roman" w:hAnsi="Times New Roman" w:cs="Times New Roman"/>
          <w:color w:val="auto"/>
        </w:rPr>
      </w:pPr>
      <w:r>
        <w:rPr>
          <w:rFonts w:hint="default" w:ascii="Times New Roman" w:hAnsi="Times New Roman" w:cs="Times New Roman"/>
          <w:color w:val="auto"/>
        </w:rPr>
        <w:t>4）不合格飞灰固化物再利用：不合格飞灰固化物经过破碎机破碎，过程严格防止粉尘污染。粉尘经过破碎机配套一体收尘管道收集后进入单独布袋除尘器处理，处理后</w:t>
      </w:r>
      <w:r>
        <w:rPr>
          <w:rFonts w:hint="eastAsia" w:ascii="Times New Roman" w:hAnsi="Times New Roman" w:cs="Times New Roman"/>
          <w:color w:val="auto"/>
          <w:lang w:val="en-US" w:eastAsia="zh-CN"/>
        </w:rPr>
        <w:t>收集至</w:t>
      </w:r>
      <w:r>
        <w:rPr>
          <w:rFonts w:hint="default" w:ascii="Times New Roman" w:hAnsi="Times New Roman" w:cs="Times New Roman"/>
          <w:color w:val="auto"/>
          <w:lang w:eastAsia="zh-CN"/>
        </w:rPr>
        <w:t>排气筒G1（DA001）</w:t>
      </w:r>
      <w:r>
        <w:rPr>
          <w:rFonts w:hint="default" w:ascii="Times New Roman" w:hAnsi="Times New Roman" w:cs="Times New Roman"/>
          <w:color w:val="auto"/>
        </w:rPr>
        <w:t>（H=25m）</w:t>
      </w:r>
      <w:r>
        <w:rPr>
          <w:rFonts w:hint="default" w:ascii="Times New Roman" w:hAnsi="Times New Roman" w:cs="Times New Roman"/>
          <w:color w:val="auto"/>
          <w:lang w:eastAsia="zh-CN"/>
        </w:rPr>
        <w:t>，</w:t>
      </w:r>
      <w:r>
        <w:rPr>
          <w:rFonts w:hint="default" w:ascii="Times New Roman" w:hAnsi="Times New Roman" w:cs="Times New Roman"/>
          <w:color w:val="auto"/>
        </w:rPr>
        <w:t>由于整套设备均位于厂房内部，正常生产工况下厂房密闭，有散溢粉尘（飞灰卸料以及设备检修过程中存在的溢尘）随着运输车辆及员工进出厂房溢散至厂房外部呈无组织排放。</w:t>
      </w:r>
    </w:p>
    <w:p w14:paraId="659146DC">
      <w:pPr>
        <w:bidi w:val="0"/>
        <w:rPr>
          <w:rFonts w:hint="default" w:ascii="Times New Roman" w:hAnsi="Times New Roman" w:cs="Times New Roman"/>
          <w:color w:val="auto"/>
        </w:rPr>
      </w:pPr>
      <w:r>
        <w:rPr>
          <w:rFonts w:hint="default" w:ascii="Times New Roman" w:hAnsi="Times New Roman" w:cs="Times New Roman"/>
          <w:color w:val="auto"/>
        </w:rPr>
        <w:t>根据《</w:t>
      </w:r>
      <w:r>
        <w:rPr>
          <w:rFonts w:hint="default" w:ascii="Times New Roman" w:hAnsi="Times New Roman" w:cs="Times New Roman"/>
          <w:color w:val="auto"/>
          <w:lang w:eastAsia="zh-CN"/>
        </w:rPr>
        <w:t>福州市生态环境局</w:t>
      </w:r>
      <w:r>
        <w:rPr>
          <w:rFonts w:hint="default" w:ascii="Times New Roman" w:hAnsi="Times New Roman" w:cs="Times New Roman"/>
          <w:color w:val="auto"/>
        </w:rPr>
        <w:t>关于福州市红庙岭垃圾焚烧发电厂飞灰稳定化预处理</w:t>
      </w:r>
      <w:r>
        <w:rPr>
          <w:rFonts w:hint="default" w:ascii="Times New Roman" w:hAnsi="Times New Roman" w:cs="Times New Roman"/>
          <w:color w:val="auto"/>
          <w:lang w:eastAsia="zh-CN"/>
        </w:rPr>
        <w:t>扩建工程</w:t>
      </w:r>
      <w:r>
        <w:rPr>
          <w:rFonts w:hint="default" w:ascii="Times New Roman" w:hAnsi="Times New Roman" w:cs="Times New Roman"/>
          <w:color w:val="auto"/>
          <w:lang w:val="en-US" w:eastAsia="zh-CN"/>
        </w:rPr>
        <w:t>BOT</w:t>
      </w:r>
      <w:r>
        <w:rPr>
          <w:rFonts w:hint="default" w:ascii="Times New Roman" w:hAnsi="Times New Roman" w:cs="Times New Roman"/>
          <w:color w:val="auto"/>
        </w:rPr>
        <w:t>项目</w:t>
      </w:r>
      <w:r>
        <w:rPr>
          <w:rFonts w:hint="default" w:ascii="Times New Roman" w:hAnsi="Times New Roman" w:cs="Times New Roman"/>
          <w:color w:val="auto"/>
          <w:lang w:eastAsia="zh-CN"/>
        </w:rPr>
        <w:t>（二期）</w:t>
      </w:r>
      <w:r>
        <w:rPr>
          <w:rFonts w:hint="default" w:ascii="Times New Roman" w:hAnsi="Times New Roman" w:cs="Times New Roman"/>
          <w:color w:val="auto"/>
        </w:rPr>
        <w:t>环境影响报告书的</w:t>
      </w:r>
      <w:r>
        <w:rPr>
          <w:rFonts w:hint="default" w:ascii="Times New Roman" w:hAnsi="Times New Roman" w:cs="Times New Roman"/>
          <w:color w:val="auto"/>
          <w:lang w:eastAsia="zh-CN"/>
        </w:rPr>
        <w:t>审批意见</w:t>
      </w:r>
      <w:r>
        <w:rPr>
          <w:rFonts w:hint="default" w:ascii="Times New Roman" w:hAnsi="Times New Roman" w:cs="Times New Roman"/>
          <w:color w:val="auto"/>
        </w:rPr>
        <w:t>》（</w:t>
      </w:r>
      <w:r>
        <w:rPr>
          <w:rFonts w:hint="default" w:ascii="Times New Roman" w:hAnsi="Times New Roman" w:cs="Times New Roman"/>
          <w:color w:val="auto"/>
          <w:lang w:eastAsia="zh-CN"/>
        </w:rPr>
        <w:t>榕环评〔2022〕7号</w:t>
      </w:r>
      <w:r>
        <w:rPr>
          <w:rFonts w:hint="default" w:ascii="Times New Roman" w:hAnsi="Times New Roman" w:cs="Times New Roman"/>
          <w:color w:val="auto"/>
        </w:rPr>
        <w:t>）：</w:t>
      </w:r>
      <w:r>
        <w:rPr>
          <w:rFonts w:hint="default" w:ascii="Times New Roman" w:hAnsi="Times New Roman" w:cs="Times New Roman"/>
          <w:color w:val="auto"/>
          <w:lang w:eastAsia="zh-CN"/>
        </w:rPr>
        <w:t>扩建投产后厂区的</w:t>
      </w:r>
      <w:r>
        <w:rPr>
          <w:rFonts w:hint="default" w:ascii="Times New Roman" w:hAnsi="Times New Roman" w:cs="Times New Roman"/>
          <w:color w:val="auto"/>
        </w:rPr>
        <w:t>大气环境防护距离为800m，本项目在防护距离范围内，无新建居住区、医院、学校、食品加工等大气敏感目标，以及种植果树、茶叶、蔬菜等食用的农作物、经济作物，不宜发展无污染绿色食品和有机食品。</w:t>
      </w:r>
    </w:p>
    <w:p w14:paraId="350B71AC">
      <w:pPr>
        <w:bidi w:val="0"/>
        <w:rPr>
          <w:rFonts w:hint="default" w:ascii="Times New Roman" w:hAnsi="Times New Roman" w:cs="Times New Roman"/>
          <w:color w:val="auto"/>
        </w:rPr>
      </w:pPr>
      <w:r>
        <w:rPr>
          <w:rFonts w:hint="default" w:ascii="Times New Roman" w:hAnsi="Times New Roman" w:cs="Times New Roman"/>
          <w:color w:val="auto"/>
        </w:rPr>
        <w:t>本工程废气产生、治理及外排情况见表4</w:t>
      </w:r>
      <w:r>
        <w:rPr>
          <w:rFonts w:hint="default" w:ascii="Times New Roman" w:hAnsi="Times New Roman" w:cs="Times New Roman"/>
          <w:color w:val="auto"/>
          <w:lang w:val="en-US" w:eastAsia="zh-CN"/>
        </w:rPr>
        <w:t>.1</w:t>
      </w:r>
      <w:r>
        <w:rPr>
          <w:rFonts w:hint="default" w:ascii="Times New Roman" w:hAnsi="Times New Roman" w:cs="Times New Roman"/>
          <w:color w:val="auto"/>
        </w:rPr>
        <w:t>-2。</w:t>
      </w:r>
    </w:p>
    <w:p w14:paraId="0C18EFCC">
      <w:pPr>
        <w:pStyle w:val="21"/>
        <w:bidi w:val="0"/>
        <w:rPr>
          <w:rFonts w:hint="default" w:ascii="Times New Roman" w:hAnsi="Times New Roman" w:cs="Times New Roman"/>
          <w:color w:val="auto"/>
        </w:rPr>
      </w:pPr>
      <w:r>
        <w:rPr>
          <w:rFonts w:hint="default" w:ascii="Times New Roman" w:hAnsi="Times New Roman" w:cs="Times New Roman"/>
          <w:color w:val="auto"/>
        </w:rPr>
        <w:t>表4</w:t>
      </w:r>
      <w:r>
        <w:rPr>
          <w:rFonts w:hint="default" w:ascii="Times New Roman" w:hAnsi="Times New Roman" w:cs="Times New Roman"/>
          <w:color w:val="auto"/>
          <w:lang w:val="en-US" w:eastAsia="zh-CN"/>
        </w:rPr>
        <w:t>.1</w:t>
      </w:r>
      <w:r>
        <w:rPr>
          <w:rFonts w:hint="default" w:ascii="Times New Roman" w:hAnsi="Times New Roman" w:cs="Times New Roman"/>
          <w:color w:val="auto"/>
        </w:rPr>
        <w:t>-2 废气产生、治理及外排情况</w:t>
      </w:r>
    </w:p>
    <w:tbl>
      <w:tblPr>
        <w:tblStyle w:val="20"/>
        <w:tblW w:w="9071" w:type="dxa"/>
        <w:jc w:val="center"/>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75"/>
        <w:gridCol w:w="1372"/>
        <w:gridCol w:w="1352"/>
        <w:gridCol w:w="1350"/>
        <w:gridCol w:w="1664"/>
        <w:gridCol w:w="1858"/>
      </w:tblGrid>
      <w:tr w14:paraId="29E1948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475" w:type="dxa"/>
            <w:tcBorders>
              <w:left w:val="nil"/>
            </w:tcBorders>
            <w:vAlign w:val="center"/>
          </w:tcPr>
          <w:p w14:paraId="38D619D7">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废气类别</w:t>
            </w:r>
          </w:p>
        </w:tc>
        <w:tc>
          <w:tcPr>
            <w:tcW w:w="1372" w:type="dxa"/>
            <w:vAlign w:val="center"/>
          </w:tcPr>
          <w:p w14:paraId="5B649BF7">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来源</w:t>
            </w:r>
          </w:p>
        </w:tc>
        <w:tc>
          <w:tcPr>
            <w:tcW w:w="1352" w:type="dxa"/>
            <w:vAlign w:val="center"/>
          </w:tcPr>
          <w:p w14:paraId="4709C228">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废气排放量</w:t>
            </w:r>
          </w:p>
        </w:tc>
        <w:tc>
          <w:tcPr>
            <w:tcW w:w="1350" w:type="dxa"/>
            <w:vAlign w:val="center"/>
          </w:tcPr>
          <w:p w14:paraId="04F8946E">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主要污染物</w:t>
            </w:r>
          </w:p>
        </w:tc>
        <w:tc>
          <w:tcPr>
            <w:tcW w:w="1664" w:type="dxa"/>
            <w:vAlign w:val="center"/>
          </w:tcPr>
          <w:p w14:paraId="51569E42">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治理措施</w:t>
            </w:r>
          </w:p>
        </w:tc>
        <w:tc>
          <w:tcPr>
            <w:tcW w:w="1858" w:type="dxa"/>
            <w:tcBorders>
              <w:bottom w:val="single" w:color="auto" w:sz="4" w:space="0"/>
              <w:right w:val="nil"/>
            </w:tcBorders>
            <w:vAlign w:val="center"/>
          </w:tcPr>
          <w:p w14:paraId="5CBB1485">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排放去向</w:t>
            </w:r>
          </w:p>
        </w:tc>
      </w:tr>
      <w:tr w14:paraId="028B731D">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475" w:type="dxa"/>
            <w:tcBorders>
              <w:left w:val="nil"/>
            </w:tcBorders>
            <w:vAlign w:val="center"/>
          </w:tcPr>
          <w:p w14:paraId="53AC87B8">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颗粒物</w:t>
            </w:r>
          </w:p>
        </w:tc>
        <w:tc>
          <w:tcPr>
            <w:tcW w:w="1372" w:type="dxa"/>
            <w:vAlign w:val="center"/>
          </w:tcPr>
          <w:p w14:paraId="4B892792">
            <w:pPr>
              <w:spacing w:before="0" w:line="231" w:lineRule="auto"/>
              <w:ind w:left="0" w:right="0" w:firstLine="0" w:firstLineChars="0"/>
              <w:jc w:val="center"/>
              <w:rPr>
                <w:rFonts w:hint="default" w:ascii="Times New Roman" w:hAnsi="Times New Roman" w:eastAsia="宋体" w:cs="Times New Roman"/>
                <w:color w:val="auto"/>
                <w:spacing w:val="-2"/>
                <w:sz w:val="22"/>
                <w:szCs w:val="22"/>
                <w:lang w:eastAsia="en-US"/>
              </w:rPr>
            </w:pPr>
            <w:r>
              <w:rPr>
                <w:rFonts w:hint="default" w:ascii="Times New Roman" w:hAnsi="Times New Roman" w:cs="Times New Roman"/>
                <w:color w:val="auto"/>
                <w:spacing w:val="-2"/>
                <w:sz w:val="22"/>
                <w:szCs w:val="22"/>
              </w:rPr>
              <w:t>飞灰的接收</w:t>
            </w:r>
            <w:r>
              <w:rPr>
                <w:rFonts w:hint="eastAsia" w:cs="Times New Roman"/>
                <w:color w:val="auto"/>
                <w:spacing w:val="-2"/>
                <w:sz w:val="22"/>
                <w:szCs w:val="22"/>
                <w:lang w:eastAsia="zh-CN"/>
              </w:rPr>
              <w:t>、</w:t>
            </w:r>
            <w:r>
              <w:rPr>
                <w:rFonts w:hint="default" w:ascii="Times New Roman" w:hAnsi="Times New Roman" w:cs="Times New Roman"/>
                <w:color w:val="auto"/>
                <w:spacing w:val="-2"/>
                <w:sz w:val="22"/>
                <w:szCs w:val="22"/>
              </w:rPr>
              <w:t>贮存环节</w:t>
            </w:r>
          </w:p>
        </w:tc>
        <w:tc>
          <w:tcPr>
            <w:tcW w:w="1352" w:type="dxa"/>
            <w:vAlign w:val="center"/>
          </w:tcPr>
          <w:p w14:paraId="6DDF12C3">
            <w:pPr>
              <w:spacing w:before="0" w:line="190" w:lineRule="auto"/>
              <w:ind w:left="0" w:firstLine="0" w:firstLineChars="0"/>
              <w:jc w:val="center"/>
              <w:rPr>
                <w:rFonts w:hint="default" w:ascii="Times New Roman" w:hAnsi="Times New Roman" w:eastAsia="宋体" w:cs="Times New Roman"/>
                <w:color w:val="auto"/>
                <w:spacing w:val="-2"/>
                <w:sz w:val="22"/>
                <w:szCs w:val="22"/>
              </w:rPr>
            </w:pPr>
            <w:r>
              <w:rPr>
                <w:rFonts w:hint="default" w:ascii="Times New Roman" w:hAnsi="Times New Roman" w:cs="Times New Roman"/>
                <w:color w:val="auto"/>
                <w:spacing w:val="-2"/>
                <w:sz w:val="22"/>
                <w:szCs w:val="22"/>
                <w:lang w:val="en-US" w:eastAsia="en-US"/>
              </w:rPr>
              <w:t>3</w:t>
            </w:r>
            <w:r>
              <w:rPr>
                <w:rFonts w:hint="default" w:ascii="Times New Roman" w:hAnsi="Times New Roman" w:eastAsia="宋体" w:cs="Times New Roman"/>
                <w:color w:val="auto"/>
                <w:spacing w:val="-2"/>
                <w:sz w:val="22"/>
                <w:szCs w:val="22"/>
              </w:rPr>
              <w:t>000m³/h</w:t>
            </w:r>
          </w:p>
        </w:tc>
        <w:tc>
          <w:tcPr>
            <w:tcW w:w="1350" w:type="dxa"/>
            <w:vAlign w:val="center"/>
          </w:tcPr>
          <w:p w14:paraId="2390CED4">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颗粒物</w:t>
            </w:r>
          </w:p>
        </w:tc>
        <w:tc>
          <w:tcPr>
            <w:tcW w:w="1664" w:type="dxa"/>
            <w:vAlign w:val="center"/>
          </w:tcPr>
          <w:p w14:paraId="33FD709E">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袋式除尘器</w:t>
            </w:r>
          </w:p>
        </w:tc>
        <w:tc>
          <w:tcPr>
            <w:tcW w:w="1858" w:type="dxa"/>
            <w:tcBorders>
              <w:top w:val="single" w:color="auto" w:sz="4" w:space="0"/>
              <w:right w:val="nil"/>
            </w:tcBorders>
            <w:vAlign w:val="center"/>
          </w:tcPr>
          <w:p w14:paraId="7F5C826B">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lang w:eastAsia="en-US"/>
              </w:rPr>
              <w:t>通过</w:t>
            </w:r>
            <w:r>
              <w:rPr>
                <w:rFonts w:hint="default" w:ascii="Times New Roman" w:hAnsi="Times New Roman" w:cs="Times New Roman"/>
                <w:color w:val="auto"/>
                <w:spacing w:val="-2"/>
                <w:sz w:val="22"/>
                <w:szCs w:val="22"/>
              </w:rPr>
              <w:t>排气管道</w:t>
            </w:r>
            <w:r>
              <w:rPr>
                <w:rFonts w:hint="eastAsia" w:ascii="Times New Roman" w:hAnsi="Times New Roman" w:cs="Times New Roman"/>
                <w:color w:val="auto"/>
                <w:spacing w:val="-2"/>
                <w:sz w:val="22"/>
                <w:szCs w:val="22"/>
                <w:lang w:val="en-US" w:eastAsia="zh-CN"/>
              </w:rPr>
              <w:t>接</w:t>
            </w:r>
            <w:r>
              <w:rPr>
                <w:rFonts w:hint="default" w:ascii="Times New Roman" w:hAnsi="Times New Roman" w:cs="Times New Roman"/>
                <w:color w:val="auto"/>
                <w:spacing w:val="-2"/>
                <w:sz w:val="22"/>
                <w:szCs w:val="22"/>
              </w:rPr>
              <w:t>入已建</w:t>
            </w:r>
            <w:r>
              <w:rPr>
                <w:rFonts w:hint="default" w:ascii="Times New Roman" w:hAnsi="Times New Roman" w:cs="Times New Roman"/>
                <w:color w:val="auto"/>
                <w:spacing w:val="-2"/>
                <w:sz w:val="22"/>
                <w:szCs w:val="22"/>
                <w:lang w:eastAsia="zh-CN"/>
              </w:rPr>
              <w:t>排气筒</w:t>
            </w:r>
            <w:r>
              <w:rPr>
                <w:rFonts w:hint="default" w:ascii="Times New Roman" w:hAnsi="Times New Roman" w:cs="Times New Roman"/>
                <w:color w:val="auto"/>
                <w:sz w:val="21"/>
                <w:szCs w:val="21"/>
                <w:lang w:eastAsia="zh-CN"/>
              </w:rPr>
              <w:t>G1（DA001）</w:t>
            </w:r>
            <w:r>
              <w:rPr>
                <w:rFonts w:hint="default" w:ascii="Times New Roman" w:hAnsi="Times New Roman" w:cs="Times New Roman"/>
                <w:color w:val="auto"/>
                <w:spacing w:val="-2"/>
                <w:sz w:val="22"/>
                <w:szCs w:val="22"/>
              </w:rPr>
              <w:t>引至屋顶外有组织排放</w:t>
            </w:r>
          </w:p>
        </w:tc>
      </w:tr>
      <w:tr w14:paraId="0B5BF84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475" w:type="dxa"/>
            <w:tcBorders>
              <w:left w:val="nil"/>
            </w:tcBorders>
            <w:vAlign w:val="center"/>
          </w:tcPr>
          <w:p w14:paraId="3693F944">
            <w:pPr>
              <w:spacing w:before="0" w:line="221" w:lineRule="auto"/>
              <w:ind w:left="0" w:firstLine="0" w:firstLineChars="0"/>
              <w:jc w:val="center"/>
              <w:rPr>
                <w:rFonts w:hint="default" w:ascii="Times New Roman" w:hAnsi="Times New Roman" w:eastAsia="宋体" w:cs="Times New Roman"/>
                <w:color w:val="auto"/>
                <w:spacing w:val="-2"/>
                <w:sz w:val="22"/>
                <w:szCs w:val="22"/>
                <w:lang w:eastAsia="zh-CN"/>
              </w:rPr>
            </w:pPr>
            <w:r>
              <w:rPr>
                <w:rFonts w:hint="default" w:ascii="Times New Roman" w:hAnsi="Times New Roman" w:cs="Times New Roman"/>
                <w:color w:val="auto"/>
                <w:spacing w:val="-2"/>
                <w:sz w:val="22"/>
                <w:szCs w:val="22"/>
                <w:lang w:eastAsia="zh-CN"/>
              </w:rPr>
              <w:t>颗粒物</w:t>
            </w:r>
          </w:p>
        </w:tc>
        <w:tc>
          <w:tcPr>
            <w:tcW w:w="1372" w:type="dxa"/>
            <w:vAlign w:val="center"/>
          </w:tcPr>
          <w:p w14:paraId="1948CBF2">
            <w:pPr>
              <w:spacing w:before="0" w:line="221" w:lineRule="auto"/>
              <w:ind w:left="0" w:righ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不合格飞灰固化物破碎</w:t>
            </w:r>
          </w:p>
        </w:tc>
        <w:tc>
          <w:tcPr>
            <w:tcW w:w="1352" w:type="dxa"/>
            <w:vAlign w:val="center"/>
          </w:tcPr>
          <w:p w14:paraId="79DE5F19">
            <w:pPr>
              <w:spacing w:line="221" w:lineRule="auto"/>
              <w:ind w:firstLine="648" w:firstLineChars="300"/>
              <w:rPr>
                <w:rFonts w:hint="default" w:ascii="Times New Roman" w:hAnsi="Times New Roman" w:eastAsia="宋体" w:cs="Times New Roman"/>
                <w:color w:val="auto"/>
                <w:spacing w:val="-2"/>
                <w:sz w:val="22"/>
                <w:szCs w:val="22"/>
              </w:rPr>
            </w:pPr>
            <w:r>
              <w:rPr>
                <w:rFonts w:hint="default" w:ascii="Times New Roman" w:hAnsi="Times New Roman" w:cs="Times New Roman"/>
                <w:color w:val="auto"/>
                <w:spacing w:val="-2"/>
                <w:sz w:val="22"/>
                <w:szCs w:val="22"/>
                <w:lang w:val="en-US" w:eastAsia="zh-CN"/>
              </w:rPr>
              <w:t>/</w:t>
            </w:r>
          </w:p>
        </w:tc>
        <w:tc>
          <w:tcPr>
            <w:tcW w:w="1350" w:type="dxa"/>
            <w:vAlign w:val="center"/>
          </w:tcPr>
          <w:p w14:paraId="1707BE2F">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颗粒物</w:t>
            </w:r>
          </w:p>
        </w:tc>
        <w:tc>
          <w:tcPr>
            <w:tcW w:w="1664" w:type="dxa"/>
            <w:vAlign w:val="center"/>
          </w:tcPr>
          <w:p w14:paraId="67D7CC21">
            <w:pPr>
              <w:spacing w:before="0" w:line="221" w:lineRule="auto"/>
              <w:ind w:left="0" w:firstLine="0" w:firstLineChars="0"/>
              <w:jc w:val="center"/>
              <w:rPr>
                <w:rFonts w:hint="default" w:ascii="Times New Roman" w:hAnsi="Times New Roman" w:cs="Times New Roman"/>
                <w:color w:val="auto"/>
                <w:spacing w:val="-2"/>
                <w:sz w:val="22"/>
                <w:szCs w:val="22"/>
              </w:rPr>
            </w:pPr>
            <w:r>
              <w:rPr>
                <w:rFonts w:hint="default" w:ascii="Times New Roman" w:hAnsi="Times New Roman" w:cs="Times New Roman"/>
                <w:color w:val="auto"/>
                <w:spacing w:val="-2"/>
                <w:sz w:val="22"/>
                <w:szCs w:val="22"/>
              </w:rPr>
              <w:t>袋式除尘器</w:t>
            </w:r>
          </w:p>
        </w:tc>
        <w:tc>
          <w:tcPr>
            <w:tcW w:w="1858" w:type="dxa"/>
            <w:tcBorders>
              <w:top w:val="single" w:color="auto" w:sz="4" w:space="0"/>
              <w:right w:val="nil"/>
            </w:tcBorders>
            <w:vAlign w:val="center"/>
          </w:tcPr>
          <w:p w14:paraId="2AFD16CA">
            <w:pPr>
              <w:spacing w:before="0" w:line="221" w:lineRule="auto"/>
              <w:ind w:left="0" w:firstLine="0" w:firstLineChars="0"/>
              <w:jc w:val="center"/>
              <w:rPr>
                <w:rFonts w:hint="default" w:ascii="Times New Roman" w:hAnsi="Times New Roman" w:eastAsia="宋体" w:cs="Times New Roman"/>
                <w:color w:val="auto"/>
                <w:spacing w:val="-2"/>
                <w:sz w:val="22"/>
                <w:szCs w:val="22"/>
                <w:lang w:eastAsia="zh-CN"/>
              </w:rPr>
            </w:pPr>
            <w:r>
              <w:rPr>
                <w:rFonts w:hint="default" w:ascii="Times New Roman" w:hAnsi="Times New Roman" w:cs="Times New Roman"/>
                <w:color w:val="auto"/>
                <w:spacing w:val="-2"/>
                <w:sz w:val="22"/>
                <w:szCs w:val="22"/>
                <w:lang w:eastAsia="zh-CN"/>
              </w:rPr>
              <w:t>通过</w:t>
            </w:r>
            <w:r>
              <w:rPr>
                <w:rFonts w:hint="default" w:ascii="Times New Roman" w:hAnsi="Times New Roman" w:cs="Times New Roman"/>
                <w:color w:val="auto"/>
                <w:spacing w:val="-2"/>
                <w:sz w:val="22"/>
                <w:szCs w:val="22"/>
              </w:rPr>
              <w:t>排气管道</w:t>
            </w:r>
            <w:r>
              <w:rPr>
                <w:rFonts w:hint="eastAsia" w:ascii="Times New Roman" w:hAnsi="Times New Roman" w:cs="Times New Roman"/>
                <w:color w:val="auto"/>
                <w:spacing w:val="-2"/>
                <w:sz w:val="22"/>
                <w:szCs w:val="22"/>
                <w:lang w:val="en-US" w:eastAsia="zh-CN"/>
              </w:rPr>
              <w:t>接</w:t>
            </w:r>
            <w:r>
              <w:rPr>
                <w:rFonts w:hint="default" w:ascii="Times New Roman" w:hAnsi="Times New Roman" w:cs="Times New Roman"/>
                <w:color w:val="auto"/>
                <w:spacing w:val="-2"/>
                <w:sz w:val="22"/>
                <w:szCs w:val="22"/>
              </w:rPr>
              <w:t>入已建</w:t>
            </w:r>
            <w:r>
              <w:rPr>
                <w:rFonts w:hint="default" w:ascii="Times New Roman" w:hAnsi="Times New Roman" w:cs="Times New Roman"/>
                <w:color w:val="auto"/>
                <w:spacing w:val="-2"/>
                <w:sz w:val="22"/>
                <w:szCs w:val="22"/>
                <w:lang w:eastAsia="zh-CN"/>
              </w:rPr>
              <w:t>排气筒</w:t>
            </w:r>
            <w:r>
              <w:rPr>
                <w:rFonts w:hint="default" w:ascii="Times New Roman" w:hAnsi="Times New Roman" w:cs="Times New Roman"/>
                <w:color w:val="auto"/>
                <w:sz w:val="21"/>
                <w:szCs w:val="21"/>
                <w:lang w:eastAsia="zh-CN"/>
              </w:rPr>
              <w:t>G1（DA001）</w:t>
            </w:r>
            <w:r>
              <w:rPr>
                <w:rFonts w:hint="default" w:ascii="Times New Roman" w:hAnsi="Times New Roman" w:cs="Times New Roman"/>
                <w:color w:val="auto"/>
                <w:spacing w:val="-2"/>
                <w:sz w:val="22"/>
                <w:szCs w:val="22"/>
              </w:rPr>
              <w:t>引至屋顶外有组织排放</w:t>
            </w:r>
          </w:p>
        </w:tc>
      </w:tr>
    </w:tbl>
    <w:tbl>
      <w:tblPr>
        <w:tblStyle w:val="1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571"/>
        <w:gridCol w:w="4497"/>
      </w:tblGrid>
      <w:tr w14:paraId="12A29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571" w:type="dxa"/>
            <w:vAlign w:val="top"/>
          </w:tcPr>
          <w:p w14:paraId="004E6BFB">
            <w:pPr>
              <w:pStyle w:val="24"/>
              <w:widowControl w:val="0"/>
              <w:bidi w:val="0"/>
              <w:rPr>
                <w:rFonts w:hint="default" w:ascii="Times New Roman" w:hAnsi="Times New Roman" w:cs="Times New Roman" w:eastAsiaTheme="minorEastAsia"/>
                <w:color w:val="auto"/>
                <w:vertAlign w:val="baseline"/>
                <w:lang w:eastAsia="zh-CN"/>
              </w:rPr>
            </w:pPr>
          </w:p>
        </w:tc>
        <w:tc>
          <w:tcPr>
            <w:tcW w:w="4497" w:type="dxa"/>
            <w:vAlign w:val="top"/>
          </w:tcPr>
          <w:p w14:paraId="24CCDE87">
            <w:pPr>
              <w:pStyle w:val="24"/>
              <w:widowControl w:val="0"/>
              <w:bidi w:val="0"/>
              <w:rPr>
                <w:rFonts w:hint="default" w:ascii="Times New Roman" w:hAnsi="Times New Roman" w:cs="Times New Roman"/>
                <w:color w:val="auto"/>
                <w:vertAlign w:val="baseline"/>
              </w:rPr>
            </w:pPr>
          </w:p>
        </w:tc>
      </w:tr>
      <w:tr w14:paraId="72820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571" w:type="dxa"/>
            <w:vAlign w:val="top"/>
          </w:tcPr>
          <w:p w14:paraId="65035E93">
            <w:pPr>
              <w:pStyle w:val="25"/>
              <w:widowControl w:val="0"/>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eastAsia" w:cs="Times New Roman"/>
                <w:color w:val="auto"/>
                <w:lang w:val="en-US" w:eastAsia="zh-CN"/>
              </w:rPr>
              <w:t>5</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spacing w:val="-2"/>
                <w:sz w:val="22"/>
                <w:szCs w:val="22"/>
              </w:rPr>
              <w:t>飞灰的接收贮存环节</w:t>
            </w:r>
            <w:r>
              <w:rPr>
                <w:rFonts w:hint="eastAsia" w:cs="Times New Roman"/>
                <w:color w:val="auto"/>
                <w:spacing w:val="-2"/>
                <w:sz w:val="22"/>
                <w:szCs w:val="22"/>
                <w:lang w:val="en-US" w:eastAsia="zh-CN"/>
              </w:rPr>
              <w:t>废气治理措施</w:t>
            </w:r>
          </w:p>
        </w:tc>
        <w:tc>
          <w:tcPr>
            <w:tcW w:w="4497" w:type="dxa"/>
            <w:vAlign w:val="top"/>
          </w:tcPr>
          <w:p w14:paraId="4B45616A">
            <w:pPr>
              <w:pStyle w:val="25"/>
              <w:widowControl w:val="0"/>
              <w:bidi w:val="0"/>
              <w:rPr>
                <w:rFonts w:hint="default" w:ascii="Times New Roman" w:hAnsi="Times New Roman" w:cs="Times New Roman"/>
                <w:color w:val="auto"/>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eastAsia" w:cs="Times New Roman"/>
                <w:color w:val="auto"/>
                <w:lang w:val="en-US" w:eastAsia="zh-CN"/>
              </w:rPr>
              <w:t>6</w:t>
            </w:r>
            <w:r>
              <w:rPr>
                <w:rFonts w:hint="default" w:ascii="Times New Roman" w:hAnsi="Times New Roman" w:cs="Times New Roman"/>
                <w:color w:val="auto"/>
                <w:lang w:val="en-US" w:eastAsia="zh-CN"/>
              </w:rPr>
              <w:t xml:space="preserve">  </w:t>
            </w:r>
            <w:r>
              <w:rPr>
                <w:rFonts w:hint="eastAsia" w:cs="Times New Roman"/>
                <w:color w:val="auto"/>
                <w:lang w:val="en-US" w:eastAsia="zh-CN"/>
              </w:rPr>
              <w:t>飞灰走向及依托</w:t>
            </w:r>
            <w:r>
              <w:rPr>
                <w:rFonts w:hint="default" w:ascii="Times New Roman" w:hAnsi="Times New Roman" w:cs="Times New Roman"/>
                <w:color w:val="auto"/>
              </w:rPr>
              <w:t>排气</w:t>
            </w:r>
            <w:r>
              <w:rPr>
                <w:rFonts w:hint="default" w:ascii="Times New Roman" w:hAnsi="Times New Roman" w:cs="Times New Roman"/>
                <w:color w:val="auto"/>
                <w:lang w:eastAsia="zh-CN"/>
              </w:rPr>
              <w:t>筒</w:t>
            </w:r>
          </w:p>
        </w:tc>
      </w:tr>
      <w:tr w14:paraId="2136D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571" w:type="dxa"/>
            <w:vAlign w:val="top"/>
          </w:tcPr>
          <w:p w14:paraId="49DA844D">
            <w:pPr>
              <w:pStyle w:val="25"/>
              <w:widowControl w:val="0"/>
              <w:bidi w:val="0"/>
              <w:rPr>
                <w:rFonts w:hint="default" w:ascii="Times New Roman" w:hAnsi="Times New Roman" w:cs="Times New Roman"/>
                <w:color w:val="auto"/>
              </w:rPr>
            </w:pPr>
          </w:p>
        </w:tc>
        <w:tc>
          <w:tcPr>
            <w:tcW w:w="4497" w:type="dxa"/>
            <w:vAlign w:val="top"/>
          </w:tcPr>
          <w:p w14:paraId="20CE1D0D">
            <w:pPr>
              <w:pStyle w:val="25"/>
              <w:widowControl w:val="0"/>
              <w:bidi w:val="0"/>
              <w:rPr>
                <w:rFonts w:hint="default" w:ascii="Times New Roman" w:hAnsi="Times New Roman" w:cs="Times New Roman"/>
                <w:color w:val="auto"/>
              </w:rPr>
            </w:pPr>
          </w:p>
        </w:tc>
      </w:tr>
      <w:tr w14:paraId="274D5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571" w:type="dxa"/>
            <w:vAlign w:val="top"/>
          </w:tcPr>
          <w:p w14:paraId="71BAEA96">
            <w:pPr>
              <w:pStyle w:val="25"/>
              <w:widowControl w:val="0"/>
              <w:bidi w:val="0"/>
              <w:rPr>
                <w:rFonts w:hint="default" w:ascii="Times New Roman" w:hAnsi="Times New Roman" w:cs="Times New Roman"/>
                <w:color w:val="auto"/>
                <w:lang w:val="en-US"/>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eastAsia" w:cs="Times New Roman"/>
                <w:color w:val="auto"/>
                <w:lang w:val="en-US" w:eastAsia="zh-CN"/>
              </w:rPr>
              <w:t>7</w:t>
            </w:r>
            <w:r>
              <w:rPr>
                <w:rFonts w:hint="default" w:ascii="Times New Roman" w:hAnsi="Times New Roman" w:cs="Times New Roman"/>
                <w:color w:val="auto"/>
                <w:lang w:val="en-US" w:eastAsia="zh-CN"/>
              </w:rPr>
              <w:t xml:space="preserve">  </w:t>
            </w:r>
            <w:r>
              <w:rPr>
                <w:rFonts w:hint="eastAsia" w:cs="Times New Roman"/>
                <w:color w:val="auto"/>
                <w:lang w:val="en-US" w:eastAsia="zh-CN"/>
              </w:rPr>
              <w:t>破碎工序废气处理措施</w:t>
            </w:r>
          </w:p>
        </w:tc>
        <w:tc>
          <w:tcPr>
            <w:tcW w:w="4497" w:type="dxa"/>
            <w:vAlign w:val="top"/>
          </w:tcPr>
          <w:p w14:paraId="4D521411">
            <w:pPr>
              <w:pStyle w:val="25"/>
              <w:widowControl w:val="0"/>
              <w:bidi w:val="0"/>
              <w:rPr>
                <w:rFonts w:hint="default" w:ascii="Times New Roman" w:hAnsi="Times New Roman" w:cs="Times New Roman"/>
                <w:color w:val="auto"/>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eastAsia" w:cs="Times New Roman"/>
                <w:color w:val="auto"/>
                <w:lang w:val="en-US" w:eastAsia="zh-CN"/>
              </w:rPr>
              <w:t>8</w:t>
            </w:r>
            <w:r>
              <w:rPr>
                <w:rFonts w:hint="default" w:ascii="Times New Roman" w:hAnsi="Times New Roman" w:cs="Times New Roman"/>
                <w:color w:val="auto"/>
                <w:lang w:val="en-US" w:eastAsia="zh-CN"/>
              </w:rPr>
              <w:t xml:space="preserve">  飞灰仓</w:t>
            </w:r>
          </w:p>
        </w:tc>
      </w:tr>
      <w:tr w14:paraId="0D901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571" w:type="dxa"/>
            <w:vAlign w:val="top"/>
          </w:tcPr>
          <w:p w14:paraId="39B71931">
            <w:pPr>
              <w:pStyle w:val="25"/>
              <w:widowControl w:val="0"/>
              <w:bidi w:val="0"/>
              <w:rPr>
                <w:rFonts w:hint="default" w:ascii="Times New Roman" w:hAnsi="Times New Roman" w:eastAsia="宋体" w:cs="Times New Roman"/>
                <w:b w:val="0"/>
                <w:bCs/>
                <w:color w:val="auto"/>
                <w:lang w:eastAsia="zh-CN"/>
              </w:rPr>
            </w:pPr>
          </w:p>
        </w:tc>
        <w:tc>
          <w:tcPr>
            <w:tcW w:w="4497" w:type="dxa"/>
            <w:vAlign w:val="top"/>
          </w:tcPr>
          <w:p w14:paraId="637BDDA5">
            <w:pPr>
              <w:pStyle w:val="25"/>
              <w:widowControl w:val="0"/>
              <w:bidi w:val="0"/>
              <w:rPr>
                <w:rFonts w:hint="default" w:ascii="Times New Roman" w:hAnsi="Times New Roman" w:eastAsia="宋体" w:cs="Times New Roman"/>
                <w:color w:val="auto"/>
                <w:lang w:eastAsia="zh-CN"/>
              </w:rPr>
            </w:pPr>
          </w:p>
        </w:tc>
      </w:tr>
      <w:tr w14:paraId="5526D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571" w:type="dxa"/>
            <w:vAlign w:val="top"/>
          </w:tcPr>
          <w:p w14:paraId="1B3F0F3A">
            <w:pPr>
              <w:pStyle w:val="25"/>
              <w:widowControl w:val="0"/>
              <w:bidi w:val="0"/>
              <w:rPr>
                <w:rFonts w:hint="default" w:ascii="Times New Roman" w:hAnsi="Times New Roman" w:cs="Times New Roman"/>
                <w:color w:val="auto"/>
                <w:lang w:val="en-US" w:eastAsia="zh-CN"/>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eastAsia" w:cs="Times New Roman"/>
                <w:color w:val="auto"/>
                <w:lang w:val="en-US" w:eastAsia="zh-CN"/>
              </w:rPr>
              <w:t>9</w:t>
            </w:r>
            <w:r>
              <w:rPr>
                <w:rFonts w:hint="default" w:ascii="Times New Roman" w:hAnsi="Times New Roman" w:cs="Times New Roman"/>
                <w:color w:val="auto"/>
                <w:lang w:val="en-US" w:eastAsia="zh-CN"/>
              </w:rPr>
              <w:t xml:space="preserve">  混炼机</w:t>
            </w:r>
          </w:p>
        </w:tc>
        <w:tc>
          <w:tcPr>
            <w:tcW w:w="4497" w:type="dxa"/>
            <w:vAlign w:val="top"/>
          </w:tcPr>
          <w:p w14:paraId="335D4270">
            <w:pPr>
              <w:pStyle w:val="25"/>
              <w:widowControl w:val="0"/>
              <w:bidi w:val="0"/>
              <w:rPr>
                <w:rFonts w:hint="default" w:ascii="Times New Roman" w:hAnsi="Times New Roman" w:cs="Times New Roman"/>
                <w:color w:val="auto"/>
                <w:lang w:val="en-US"/>
              </w:rPr>
            </w:pPr>
          </w:p>
        </w:tc>
      </w:tr>
    </w:tbl>
    <w:p w14:paraId="57EC8AC1">
      <w:pPr>
        <w:pStyle w:val="4"/>
        <w:bidi w:val="0"/>
        <w:rPr>
          <w:rFonts w:hint="default" w:ascii="Times New Roman" w:hAnsi="Times New Roman" w:cs="Times New Roman"/>
          <w:color w:val="auto"/>
        </w:rPr>
      </w:pPr>
      <w:bookmarkStart w:id="32" w:name="_Toc24803"/>
      <w:r>
        <w:rPr>
          <w:rFonts w:hint="default" w:ascii="Times New Roman" w:hAnsi="Times New Roman" w:cs="Times New Roman"/>
          <w:color w:val="auto"/>
        </w:rPr>
        <w:t>4.1.3噪声治理措施</w:t>
      </w:r>
      <w:bookmarkEnd w:id="32"/>
    </w:p>
    <w:p w14:paraId="72033CB5">
      <w:pPr>
        <w:bidi w:val="0"/>
        <w:rPr>
          <w:rFonts w:hint="default" w:ascii="Times New Roman" w:hAnsi="Times New Roman" w:cs="Times New Roman"/>
          <w:color w:val="auto"/>
          <w:lang w:eastAsia="zh-CN"/>
        </w:rPr>
      </w:pPr>
      <w:r>
        <w:rPr>
          <w:rFonts w:hint="default" w:ascii="Times New Roman" w:hAnsi="Times New Roman" w:cs="Times New Roman"/>
          <w:color w:val="auto"/>
        </w:rPr>
        <w:t>项目噪声主要来源于风机、泵类、厂区内机械等工作时产生的噪声，偶尔的钻孔、切割也会产生一定的噪声。本工程噪声产生、治理情况见表4</w:t>
      </w:r>
      <w:r>
        <w:rPr>
          <w:rFonts w:hint="default" w:ascii="Times New Roman" w:hAnsi="Times New Roman" w:cs="Times New Roman"/>
          <w:color w:val="auto"/>
          <w:lang w:val="en-US" w:eastAsia="zh-CN"/>
        </w:rPr>
        <w:t>.1</w:t>
      </w:r>
      <w:r>
        <w:rPr>
          <w:rFonts w:hint="default" w:ascii="Times New Roman" w:hAnsi="Times New Roman" w:cs="Times New Roman"/>
          <w:color w:val="auto"/>
        </w:rPr>
        <w:t>-3</w:t>
      </w:r>
      <w:r>
        <w:rPr>
          <w:rFonts w:hint="default" w:ascii="Times New Roman" w:hAnsi="Times New Roman" w:cs="Times New Roman"/>
          <w:color w:val="auto"/>
          <w:lang w:eastAsia="zh-CN"/>
        </w:rPr>
        <w:t>。</w:t>
      </w:r>
    </w:p>
    <w:p w14:paraId="405696A6">
      <w:pPr>
        <w:pStyle w:val="21"/>
        <w:bidi w:val="0"/>
        <w:rPr>
          <w:rFonts w:hint="default" w:ascii="Times New Roman" w:hAnsi="Times New Roman" w:cs="Times New Roman"/>
          <w:color w:val="auto"/>
        </w:rPr>
      </w:pPr>
      <w:r>
        <w:rPr>
          <w:rFonts w:hint="default" w:ascii="Times New Roman" w:hAnsi="Times New Roman" w:cs="Times New Roman"/>
          <w:color w:val="auto"/>
        </w:rPr>
        <w:t>表4</w:t>
      </w:r>
      <w:r>
        <w:rPr>
          <w:rFonts w:hint="default" w:ascii="Times New Roman" w:hAnsi="Times New Roman" w:cs="Times New Roman"/>
          <w:color w:val="auto"/>
          <w:lang w:val="en-US" w:eastAsia="zh-CN"/>
        </w:rPr>
        <w:t>.1</w:t>
      </w:r>
      <w:r>
        <w:rPr>
          <w:rFonts w:hint="default" w:ascii="Times New Roman" w:hAnsi="Times New Roman" w:cs="Times New Roman"/>
          <w:color w:val="auto"/>
        </w:rPr>
        <w:t>-3主要噪声产生、治理情况</w:t>
      </w:r>
    </w:p>
    <w:tbl>
      <w:tblPr>
        <w:tblStyle w:val="20"/>
        <w:tblW w:w="9179" w:type="dxa"/>
        <w:jc w:val="center"/>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0"/>
        <w:gridCol w:w="1723"/>
        <w:gridCol w:w="1027"/>
        <w:gridCol w:w="840"/>
        <w:gridCol w:w="1077"/>
        <w:gridCol w:w="1461"/>
        <w:gridCol w:w="877"/>
        <w:gridCol w:w="1106"/>
      </w:tblGrid>
      <w:tr w14:paraId="4A0E7290">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0" w:type="dxa"/>
            <w:tcBorders>
              <w:left w:val="nil"/>
            </w:tcBorders>
            <w:vAlign w:val="center"/>
          </w:tcPr>
          <w:p w14:paraId="22168EE3">
            <w:pPr>
              <w:pStyle w:val="23"/>
              <w:bidi w:val="0"/>
              <w:rPr>
                <w:rFonts w:hint="default" w:ascii="Times New Roman" w:hAnsi="Times New Roman" w:cs="Times New Roman"/>
                <w:color w:val="auto"/>
              </w:rPr>
            </w:pPr>
            <w:r>
              <w:rPr>
                <w:rFonts w:hint="default" w:ascii="Times New Roman" w:hAnsi="Times New Roman" w:cs="Times New Roman"/>
                <w:color w:val="auto"/>
              </w:rPr>
              <w:t>声源位置</w:t>
            </w:r>
          </w:p>
        </w:tc>
        <w:tc>
          <w:tcPr>
            <w:tcW w:w="1723" w:type="dxa"/>
            <w:vAlign w:val="center"/>
          </w:tcPr>
          <w:p w14:paraId="41F341A4">
            <w:pPr>
              <w:pStyle w:val="23"/>
              <w:bidi w:val="0"/>
              <w:rPr>
                <w:rFonts w:hint="default" w:ascii="Times New Roman" w:hAnsi="Times New Roman" w:cs="Times New Roman"/>
                <w:color w:val="auto"/>
              </w:rPr>
            </w:pPr>
            <w:r>
              <w:rPr>
                <w:rFonts w:hint="default" w:ascii="Times New Roman" w:hAnsi="Times New Roman" w:cs="Times New Roman"/>
                <w:color w:val="auto"/>
              </w:rPr>
              <w:t>设备名称</w:t>
            </w:r>
          </w:p>
        </w:tc>
        <w:tc>
          <w:tcPr>
            <w:tcW w:w="1027" w:type="dxa"/>
            <w:vAlign w:val="center"/>
          </w:tcPr>
          <w:p w14:paraId="77A8C41A">
            <w:pPr>
              <w:pStyle w:val="23"/>
              <w:bidi w:val="0"/>
              <w:rPr>
                <w:rFonts w:hint="default" w:ascii="Times New Roman" w:hAnsi="Times New Roman" w:cs="Times New Roman"/>
                <w:color w:val="auto"/>
              </w:rPr>
            </w:pPr>
            <w:r>
              <w:rPr>
                <w:rFonts w:hint="default" w:ascii="Times New Roman" w:hAnsi="Times New Roman" w:cs="Times New Roman"/>
                <w:color w:val="auto"/>
              </w:rPr>
              <w:t>噪声类别</w:t>
            </w:r>
          </w:p>
        </w:tc>
        <w:tc>
          <w:tcPr>
            <w:tcW w:w="840" w:type="dxa"/>
            <w:vAlign w:val="center"/>
          </w:tcPr>
          <w:p w14:paraId="42FBF91A">
            <w:pPr>
              <w:pStyle w:val="23"/>
              <w:bidi w:val="0"/>
              <w:rPr>
                <w:rFonts w:hint="default" w:ascii="Times New Roman" w:hAnsi="Times New Roman" w:cs="Times New Roman"/>
                <w:color w:val="auto"/>
              </w:rPr>
            </w:pPr>
            <w:r>
              <w:rPr>
                <w:rFonts w:hint="default" w:ascii="Times New Roman" w:hAnsi="Times New Roman" w:cs="Times New Roman"/>
                <w:color w:val="auto"/>
              </w:rPr>
              <w:t>台数</w:t>
            </w:r>
          </w:p>
        </w:tc>
        <w:tc>
          <w:tcPr>
            <w:tcW w:w="1077" w:type="dxa"/>
            <w:vAlign w:val="center"/>
          </w:tcPr>
          <w:p w14:paraId="4153293B">
            <w:pPr>
              <w:pStyle w:val="23"/>
              <w:bidi w:val="0"/>
              <w:rPr>
                <w:rFonts w:hint="default" w:ascii="Times New Roman" w:hAnsi="Times New Roman" w:cs="Times New Roman"/>
                <w:color w:val="auto"/>
              </w:rPr>
            </w:pPr>
            <w:r>
              <w:rPr>
                <w:rFonts w:hint="default" w:ascii="Times New Roman" w:hAnsi="Times New Roman" w:cs="Times New Roman"/>
                <w:color w:val="auto"/>
              </w:rPr>
              <w:t>单台A声级dB(A)</w:t>
            </w:r>
          </w:p>
        </w:tc>
        <w:tc>
          <w:tcPr>
            <w:tcW w:w="1461" w:type="dxa"/>
            <w:vAlign w:val="center"/>
          </w:tcPr>
          <w:p w14:paraId="02E19290">
            <w:pPr>
              <w:pStyle w:val="23"/>
              <w:bidi w:val="0"/>
              <w:rPr>
                <w:rFonts w:hint="default" w:ascii="Times New Roman" w:hAnsi="Times New Roman" w:cs="Times New Roman"/>
                <w:color w:val="auto"/>
              </w:rPr>
            </w:pPr>
            <w:r>
              <w:rPr>
                <w:rFonts w:hint="default" w:ascii="Times New Roman" w:hAnsi="Times New Roman" w:cs="Times New Roman"/>
                <w:color w:val="auto"/>
              </w:rPr>
              <w:t>降噪措施</w:t>
            </w:r>
          </w:p>
        </w:tc>
        <w:tc>
          <w:tcPr>
            <w:tcW w:w="877" w:type="dxa"/>
            <w:vAlign w:val="center"/>
          </w:tcPr>
          <w:p w14:paraId="1AD182A3">
            <w:pPr>
              <w:pStyle w:val="23"/>
              <w:bidi w:val="0"/>
              <w:rPr>
                <w:rFonts w:hint="default" w:ascii="Times New Roman" w:hAnsi="Times New Roman" w:cs="Times New Roman"/>
                <w:color w:val="auto"/>
              </w:rPr>
            </w:pPr>
            <w:r>
              <w:rPr>
                <w:rFonts w:hint="default" w:ascii="Times New Roman" w:hAnsi="Times New Roman" w:cs="Times New Roman"/>
                <w:color w:val="auto"/>
              </w:rPr>
              <w:t>降噪效果dB(A)</w:t>
            </w:r>
          </w:p>
        </w:tc>
        <w:tc>
          <w:tcPr>
            <w:tcW w:w="1106" w:type="dxa"/>
            <w:tcBorders>
              <w:right w:val="nil"/>
            </w:tcBorders>
            <w:vAlign w:val="center"/>
          </w:tcPr>
          <w:p w14:paraId="0F0255F6">
            <w:pPr>
              <w:pStyle w:val="23"/>
              <w:bidi w:val="0"/>
              <w:rPr>
                <w:rFonts w:hint="default" w:ascii="Times New Roman" w:hAnsi="Times New Roman" w:cs="Times New Roman"/>
                <w:color w:val="auto"/>
              </w:rPr>
            </w:pPr>
            <w:r>
              <w:rPr>
                <w:rFonts w:hint="default" w:ascii="Times New Roman" w:hAnsi="Times New Roman" w:cs="Times New Roman"/>
                <w:color w:val="auto"/>
              </w:rPr>
              <w:t>有无阻挡</w:t>
            </w:r>
          </w:p>
        </w:tc>
      </w:tr>
      <w:tr w14:paraId="374AE9C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0" w:type="dxa"/>
            <w:vMerge w:val="restart"/>
            <w:tcBorders>
              <w:left w:val="nil"/>
            </w:tcBorders>
            <w:vAlign w:val="center"/>
          </w:tcPr>
          <w:p w14:paraId="6F3B541C">
            <w:pPr>
              <w:pStyle w:val="23"/>
              <w:bidi w:val="0"/>
              <w:rPr>
                <w:rFonts w:hint="default" w:ascii="Times New Roman" w:hAnsi="Times New Roman" w:cs="Times New Roman"/>
                <w:color w:val="auto"/>
              </w:rPr>
            </w:pPr>
            <w:r>
              <w:rPr>
                <w:rFonts w:hint="default" w:ascii="Times New Roman" w:hAnsi="Times New Roman" w:cs="Times New Roman"/>
                <w:color w:val="auto"/>
              </w:rPr>
              <w:t>固化车间</w:t>
            </w:r>
          </w:p>
        </w:tc>
        <w:tc>
          <w:tcPr>
            <w:tcW w:w="1723" w:type="dxa"/>
            <w:vAlign w:val="center"/>
          </w:tcPr>
          <w:p w14:paraId="67145F8C">
            <w:pPr>
              <w:pStyle w:val="23"/>
              <w:bidi w:val="0"/>
              <w:rPr>
                <w:rFonts w:hint="default" w:ascii="Times New Roman" w:hAnsi="Times New Roman" w:cs="Times New Roman"/>
                <w:color w:val="auto"/>
              </w:rPr>
            </w:pPr>
            <w:r>
              <w:rPr>
                <w:rFonts w:hint="default" w:ascii="Times New Roman" w:hAnsi="Times New Roman" w:cs="Times New Roman"/>
                <w:color w:val="auto"/>
              </w:rPr>
              <w:t>混炼机（混炼搅拌系统）</w:t>
            </w:r>
          </w:p>
        </w:tc>
        <w:tc>
          <w:tcPr>
            <w:tcW w:w="1027" w:type="dxa"/>
            <w:vMerge w:val="restart"/>
            <w:vAlign w:val="center"/>
          </w:tcPr>
          <w:p w14:paraId="1112543B">
            <w:pPr>
              <w:pStyle w:val="23"/>
              <w:bidi w:val="0"/>
              <w:rPr>
                <w:rFonts w:hint="default" w:ascii="Times New Roman" w:hAnsi="Times New Roman" w:cs="Times New Roman"/>
                <w:color w:val="auto"/>
              </w:rPr>
            </w:pPr>
            <w:r>
              <w:rPr>
                <w:rFonts w:hint="default" w:ascii="Times New Roman" w:hAnsi="Times New Roman" w:cs="Times New Roman"/>
                <w:color w:val="auto"/>
              </w:rPr>
              <w:t>机械噪声</w:t>
            </w:r>
          </w:p>
        </w:tc>
        <w:tc>
          <w:tcPr>
            <w:tcW w:w="840" w:type="dxa"/>
            <w:vAlign w:val="center"/>
          </w:tcPr>
          <w:p w14:paraId="7963B4B6">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077" w:type="dxa"/>
            <w:vAlign w:val="center"/>
          </w:tcPr>
          <w:p w14:paraId="7A1C2772">
            <w:pPr>
              <w:pStyle w:val="23"/>
              <w:bidi w:val="0"/>
              <w:rPr>
                <w:rFonts w:hint="default" w:ascii="Times New Roman" w:hAnsi="Times New Roman" w:cs="Times New Roman"/>
                <w:color w:val="auto"/>
              </w:rPr>
            </w:pPr>
            <w:r>
              <w:rPr>
                <w:rFonts w:hint="default" w:ascii="Times New Roman" w:hAnsi="Times New Roman" w:cs="Times New Roman"/>
                <w:color w:val="auto"/>
              </w:rPr>
              <w:t>95</w:t>
            </w:r>
          </w:p>
        </w:tc>
        <w:tc>
          <w:tcPr>
            <w:tcW w:w="1461" w:type="dxa"/>
            <w:vMerge w:val="restart"/>
            <w:vAlign w:val="center"/>
          </w:tcPr>
          <w:p w14:paraId="7EF27024">
            <w:pPr>
              <w:pStyle w:val="23"/>
              <w:bidi w:val="0"/>
              <w:rPr>
                <w:rFonts w:hint="default" w:ascii="Times New Roman" w:hAnsi="Times New Roman" w:cs="Times New Roman"/>
                <w:color w:val="auto"/>
              </w:rPr>
            </w:pPr>
            <w:r>
              <w:rPr>
                <w:rFonts w:hint="default" w:ascii="Times New Roman" w:hAnsi="Times New Roman" w:cs="Times New Roman"/>
                <w:color w:val="auto"/>
              </w:rPr>
              <w:t>位于室内，采取减振、</w:t>
            </w:r>
            <w:r>
              <w:rPr>
                <w:rFonts w:hint="default" w:ascii="Times New Roman" w:hAnsi="Times New Roman" w:cs="Times New Roman"/>
                <w:color w:val="auto"/>
                <w:lang w:val="en-US" w:eastAsia="zh-CN"/>
              </w:rPr>
              <w:t>隔声</w:t>
            </w:r>
            <w:r>
              <w:rPr>
                <w:rFonts w:hint="default" w:ascii="Times New Roman" w:hAnsi="Times New Roman" w:cs="Times New Roman"/>
                <w:color w:val="auto"/>
              </w:rPr>
              <w:t>等措施</w:t>
            </w:r>
          </w:p>
        </w:tc>
        <w:tc>
          <w:tcPr>
            <w:tcW w:w="877" w:type="dxa"/>
            <w:vAlign w:val="center"/>
          </w:tcPr>
          <w:p w14:paraId="438135F5">
            <w:pPr>
              <w:pStyle w:val="23"/>
              <w:bidi w:val="0"/>
              <w:rPr>
                <w:rFonts w:hint="default" w:ascii="Times New Roman" w:hAnsi="Times New Roman" w:cs="Times New Roman"/>
                <w:color w:val="auto"/>
              </w:rPr>
            </w:pPr>
            <w:r>
              <w:rPr>
                <w:rFonts w:hint="default" w:ascii="Times New Roman" w:hAnsi="Times New Roman" w:cs="Times New Roman"/>
                <w:color w:val="auto"/>
              </w:rPr>
              <w:t>&gt;20</w:t>
            </w:r>
          </w:p>
        </w:tc>
        <w:tc>
          <w:tcPr>
            <w:tcW w:w="1106" w:type="dxa"/>
            <w:vMerge w:val="restart"/>
            <w:tcBorders>
              <w:right w:val="nil"/>
            </w:tcBorders>
            <w:vAlign w:val="center"/>
          </w:tcPr>
          <w:p w14:paraId="3B334CE9">
            <w:pPr>
              <w:pStyle w:val="23"/>
              <w:bidi w:val="0"/>
              <w:rPr>
                <w:rFonts w:hint="default" w:ascii="Times New Roman" w:hAnsi="Times New Roman" w:cs="Times New Roman"/>
                <w:color w:val="auto"/>
              </w:rPr>
            </w:pPr>
            <w:r>
              <w:rPr>
                <w:rFonts w:hint="default" w:ascii="Times New Roman" w:hAnsi="Times New Roman" w:cs="Times New Roman"/>
                <w:color w:val="auto"/>
              </w:rPr>
              <w:t>车间、围墙</w:t>
            </w:r>
          </w:p>
        </w:tc>
      </w:tr>
      <w:tr w14:paraId="3C5B63B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0" w:type="dxa"/>
            <w:vMerge w:val="continue"/>
            <w:tcBorders>
              <w:left w:val="nil"/>
            </w:tcBorders>
            <w:vAlign w:val="center"/>
          </w:tcPr>
          <w:p w14:paraId="6A72C929">
            <w:pPr>
              <w:pStyle w:val="23"/>
              <w:bidi w:val="0"/>
              <w:rPr>
                <w:rFonts w:hint="default" w:ascii="Times New Roman" w:hAnsi="Times New Roman" w:cs="Times New Roman"/>
                <w:color w:val="auto"/>
              </w:rPr>
            </w:pPr>
          </w:p>
        </w:tc>
        <w:tc>
          <w:tcPr>
            <w:tcW w:w="1723" w:type="dxa"/>
            <w:vAlign w:val="center"/>
          </w:tcPr>
          <w:p w14:paraId="41C5BB0B">
            <w:pPr>
              <w:pStyle w:val="23"/>
              <w:bidi w:val="0"/>
              <w:rPr>
                <w:rFonts w:hint="default" w:ascii="Times New Roman" w:hAnsi="Times New Roman" w:cs="Times New Roman"/>
                <w:color w:val="auto"/>
              </w:rPr>
            </w:pPr>
            <w:r>
              <w:rPr>
                <w:rFonts w:hint="default" w:ascii="Times New Roman" w:hAnsi="Times New Roman" w:cs="Times New Roman"/>
                <w:color w:val="auto"/>
              </w:rPr>
              <w:t>飞灰圆盘给料机（飞灰储存、卸料）</w:t>
            </w:r>
          </w:p>
        </w:tc>
        <w:tc>
          <w:tcPr>
            <w:tcW w:w="1027" w:type="dxa"/>
            <w:vMerge w:val="continue"/>
            <w:vAlign w:val="center"/>
          </w:tcPr>
          <w:p w14:paraId="786EEEEE">
            <w:pPr>
              <w:pStyle w:val="23"/>
              <w:bidi w:val="0"/>
              <w:rPr>
                <w:rFonts w:hint="default" w:ascii="Times New Roman" w:hAnsi="Times New Roman" w:cs="Times New Roman"/>
                <w:color w:val="auto"/>
              </w:rPr>
            </w:pPr>
          </w:p>
        </w:tc>
        <w:tc>
          <w:tcPr>
            <w:tcW w:w="840" w:type="dxa"/>
            <w:vAlign w:val="center"/>
          </w:tcPr>
          <w:p w14:paraId="0E8AF69E">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077" w:type="dxa"/>
            <w:vAlign w:val="center"/>
          </w:tcPr>
          <w:p w14:paraId="35D85287">
            <w:pPr>
              <w:pStyle w:val="23"/>
              <w:bidi w:val="0"/>
              <w:rPr>
                <w:rFonts w:hint="default" w:ascii="Times New Roman" w:hAnsi="Times New Roman" w:cs="Times New Roman"/>
                <w:color w:val="auto"/>
              </w:rPr>
            </w:pPr>
            <w:r>
              <w:rPr>
                <w:rFonts w:hint="default" w:ascii="Times New Roman" w:hAnsi="Times New Roman" w:cs="Times New Roman"/>
                <w:color w:val="auto"/>
              </w:rPr>
              <w:t>85</w:t>
            </w:r>
          </w:p>
        </w:tc>
        <w:tc>
          <w:tcPr>
            <w:tcW w:w="1461" w:type="dxa"/>
            <w:vMerge w:val="continue"/>
            <w:vAlign w:val="center"/>
          </w:tcPr>
          <w:p w14:paraId="0788CA78">
            <w:pPr>
              <w:pStyle w:val="23"/>
              <w:bidi w:val="0"/>
              <w:rPr>
                <w:rFonts w:hint="default" w:ascii="Times New Roman" w:hAnsi="Times New Roman" w:cs="Times New Roman"/>
                <w:color w:val="auto"/>
              </w:rPr>
            </w:pPr>
          </w:p>
        </w:tc>
        <w:tc>
          <w:tcPr>
            <w:tcW w:w="877" w:type="dxa"/>
            <w:vAlign w:val="center"/>
          </w:tcPr>
          <w:p w14:paraId="3764A028">
            <w:pPr>
              <w:pStyle w:val="23"/>
              <w:bidi w:val="0"/>
              <w:rPr>
                <w:rFonts w:hint="default" w:ascii="Times New Roman" w:hAnsi="Times New Roman" w:cs="Times New Roman"/>
                <w:color w:val="auto"/>
              </w:rPr>
            </w:pPr>
            <w:r>
              <w:rPr>
                <w:rFonts w:hint="default" w:ascii="Times New Roman" w:hAnsi="Times New Roman" w:cs="Times New Roman"/>
                <w:color w:val="auto"/>
              </w:rPr>
              <w:t>&gt;20</w:t>
            </w:r>
          </w:p>
        </w:tc>
        <w:tc>
          <w:tcPr>
            <w:tcW w:w="1106" w:type="dxa"/>
            <w:vMerge w:val="continue"/>
            <w:tcBorders>
              <w:right w:val="nil"/>
            </w:tcBorders>
            <w:vAlign w:val="center"/>
          </w:tcPr>
          <w:p w14:paraId="0D237C9A">
            <w:pPr>
              <w:pStyle w:val="23"/>
              <w:bidi w:val="0"/>
              <w:rPr>
                <w:rFonts w:hint="default" w:ascii="Times New Roman" w:hAnsi="Times New Roman" w:cs="Times New Roman"/>
                <w:color w:val="auto"/>
              </w:rPr>
            </w:pPr>
          </w:p>
        </w:tc>
      </w:tr>
      <w:tr w14:paraId="38E945DC">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0" w:type="dxa"/>
            <w:vMerge w:val="continue"/>
            <w:tcBorders>
              <w:left w:val="nil"/>
            </w:tcBorders>
            <w:vAlign w:val="center"/>
          </w:tcPr>
          <w:p w14:paraId="7F8F643B">
            <w:pPr>
              <w:pStyle w:val="23"/>
              <w:bidi w:val="0"/>
              <w:rPr>
                <w:rFonts w:hint="default" w:ascii="Times New Roman" w:hAnsi="Times New Roman" w:cs="Times New Roman"/>
                <w:color w:val="auto"/>
              </w:rPr>
            </w:pPr>
          </w:p>
        </w:tc>
        <w:tc>
          <w:tcPr>
            <w:tcW w:w="1723" w:type="dxa"/>
            <w:vAlign w:val="center"/>
          </w:tcPr>
          <w:p w14:paraId="01A84EFE">
            <w:pPr>
              <w:pStyle w:val="23"/>
              <w:bidi w:val="0"/>
              <w:rPr>
                <w:rFonts w:hint="default" w:ascii="Times New Roman" w:hAnsi="Times New Roman" w:cs="Times New Roman"/>
                <w:color w:val="auto"/>
              </w:rPr>
            </w:pPr>
            <w:r>
              <w:rPr>
                <w:rFonts w:hint="default" w:ascii="Times New Roman" w:hAnsi="Times New Roman" w:cs="Times New Roman"/>
                <w:color w:val="auto"/>
              </w:rPr>
              <w:t>螺旋输送机</w:t>
            </w:r>
          </w:p>
        </w:tc>
        <w:tc>
          <w:tcPr>
            <w:tcW w:w="1027" w:type="dxa"/>
            <w:vMerge w:val="continue"/>
            <w:vAlign w:val="center"/>
          </w:tcPr>
          <w:p w14:paraId="42AC0C95">
            <w:pPr>
              <w:pStyle w:val="23"/>
              <w:bidi w:val="0"/>
              <w:rPr>
                <w:rFonts w:hint="default" w:ascii="Times New Roman" w:hAnsi="Times New Roman" w:cs="Times New Roman"/>
                <w:color w:val="auto"/>
              </w:rPr>
            </w:pPr>
          </w:p>
        </w:tc>
        <w:tc>
          <w:tcPr>
            <w:tcW w:w="840" w:type="dxa"/>
            <w:vAlign w:val="center"/>
          </w:tcPr>
          <w:p w14:paraId="08D6CF32">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077" w:type="dxa"/>
            <w:vAlign w:val="center"/>
          </w:tcPr>
          <w:p w14:paraId="7653EB1A">
            <w:pPr>
              <w:pStyle w:val="23"/>
              <w:bidi w:val="0"/>
              <w:rPr>
                <w:rFonts w:hint="default" w:ascii="Times New Roman" w:hAnsi="Times New Roman" w:cs="Times New Roman"/>
                <w:color w:val="auto"/>
              </w:rPr>
            </w:pPr>
            <w:r>
              <w:rPr>
                <w:rFonts w:hint="default" w:ascii="Times New Roman" w:hAnsi="Times New Roman" w:cs="Times New Roman"/>
                <w:color w:val="auto"/>
              </w:rPr>
              <w:t>80</w:t>
            </w:r>
          </w:p>
        </w:tc>
        <w:tc>
          <w:tcPr>
            <w:tcW w:w="1461" w:type="dxa"/>
            <w:vMerge w:val="continue"/>
            <w:vAlign w:val="center"/>
          </w:tcPr>
          <w:p w14:paraId="68793647">
            <w:pPr>
              <w:pStyle w:val="23"/>
              <w:bidi w:val="0"/>
              <w:rPr>
                <w:rFonts w:hint="default" w:ascii="Times New Roman" w:hAnsi="Times New Roman" w:cs="Times New Roman"/>
                <w:color w:val="auto"/>
              </w:rPr>
            </w:pPr>
          </w:p>
        </w:tc>
        <w:tc>
          <w:tcPr>
            <w:tcW w:w="877" w:type="dxa"/>
            <w:vAlign w:val="center"/>
          </w:tcPr>
          <w:p w14:paraId="28522415">
            <w:pPr>
              <w:pStyle w:val="23"/>
              <w:bidi w:val="0"/>
              <w:rPr>
                <w:rFonts w:hint="default" w:ascii="Times New Roman" w:hAnsi="Times New Roman" w:cs="Times New Roman"/>
                <w:color w:val="auto"/>
              </w:rPr>
            </w:pPr>
            <w:r>
              <w:rPr>
                <w:rFonts w:hint="default" w:ascii="Times New Roman" w:hAnsi="Times New Roman" w:cs="Times New Roman"/>
                <w:color w:val="auto"/>
              </w:rPr>
              <w:t>&gt;20</w:t>
            </w:r>
          </w:p>
        </w:tc>
        <w:tc>
          <w:tcPr>
            <w:tcW w:w="1106" w:type="dxa"/>
            <w:vMerge w:val="continue"/>
            <w:tcBorders>
              <w:right w:val="nil"/>
            </w:tcBorders>
            <w:vAlign w:val="center"/>
          </w:tcPr>
          <w:p w14:paraId="5132B6DF">
            <w:pPr>
              <w:pStyle w:val="23"/>
              <w:bidi w:val="0"/>
              <w:rPr>
                <w:rFonts w:hint="default" w:ascii="Times New Roman" w:hAnsi="Times New Roman" w:cs="Times New Roman"/>
                <w:color w:val="auto"/>
              </w:rPr>
            </w:pPr>
          </w:p>
        </w:tc>
      </w:tr>
      <w:tr w14:paraId="1B3AD306">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0" w:type="dxa"/>
            <w:vMerge w:val="continue"/>
            <w:tcBorders>
              <w:left w:val="nil"/>
            </w:tcBorders>
            <w:vAlign w:val="center"/>
          </w:tcPr>
          <w:p w14:paraId="510D0B0F">
            <w:pPr>
              <w:pStyle w:val="23"/>
              <w:bidi w:val="0"/>
              <w:rPr>
                <w:rFonts w:hint="default" w:ascii="Times New Roman" w:hAnsi="Times New Roman" w:cs="Times New Roman"/>
                <w:color w:val="auto"/>
              </w:rPr>
            </w:pPr>
          </w:p>
        </w:tc>
        <w:tc>
          <w:tcPr>
            <w:tcW w:w="1723" w:type="dxa"/>
            <w:vAlign w:val="center"/>
          </w:tcPr>
          <w:p w14:paraId="45CF3B1C">
            <w:pPr>
              <w:pStyle w:val="23"/>
              <w:bidi w:val="0"/>
              <w:rPr>
                <w:rFonts w:hint="default" w:ascii="Times New Roman" w:hAnsi="Times New Roman" w:cs="Times New Roman"/>
                <w:color w:val="auto"/>
              </w:rPr>
            </w:pPr>
            <w:r>
              <w:rPr>
                <w:rFonts w:hint="default" w:ascii="Times New Roman" w:hAnsi="Times New Roman" w:cs="Times New Roman"/>
                <w:color w:val="auto"/>
              </w:rPr>
              <w:t>螯合剂加药泵、输送泵</w:t>
            </w:r>
          </w:p>
        </w:tc>
        <w:tc>
          <w:tcPr>
            <w:tcW w:w="1027" w:type="dxa"/>
            <w:vMerge w:val="continue"/>
            <w:vAlign w:val="center"/>
          </w:tcPr>
          <w:p w14:paraId="4E19EF2E">
            <w:pPr>
              <w:pStyle w:val="23"/>
              <w:bidi w:val="0"/>
              <w:rPr>
                <w:rFonts w:hint="default" w:ascii="Times New Roman" w:hAnsi="Times New Roman" w:cs="Times New Roman"/>
                <w:color w:val="auto"/>
              </w:rPr>
            </w:pPr>
          </w:p>
        </w:tc>
        <w:tc>
          <w:tcPr>
            <w:tcW w:w="840" w:type="dxa"/>
            <w:vAlign w:val="center"/>
          </w:tcPr>
          <w:p w14:paraId="06050306">
            <w:pPr>
              <w:pStyle w:val="23"/>
              <w:bidi w:val="0"/>
              <w:rPr>
                <w:rFonts w:hint="default" w:ascii="Times New Roman" w:hAnsi="Times New Roman" w:cs="Times New Roman"/>
                <w:color w:val="auto"/>
              </w:rPr>
            </w:pPr>
            <w:r>
              <w:rPr>
                <w:rFonts w:hint="default" w:ascii="Times New Roman" w:hAnsi="Times New Roman" w:cs="Times New Roman"/>
                <w:color w:val="auto"/>
              </w:rPr>
              <w:t>4</w:t>
            </w:r>
          </w:p>
        </w:tc>
        <w:tc>
          <w:tcPr>
            <w:tcW w:w="1077" w:type="dxa"/>
            <w:vAlign w:val="center"/>
          </w:tcPr>
          <w:p w14:paraId="25F15149">
            <w:pPr>
              <w:pStyle w:val="23"/>
              <w:bidi w:val="0"/>
              <w:rPr>
                <w:rFonts w:hint="default" w:ascii="Times New Roman" w:hAnsi="Times New Roman" w:cs="Times New Roman"/>
                <w:color w:val="auto"/>
              </w:rPr>
            </w:pPr>
            <w:r>
              <w:rPr>
                <w:rFonts w:hint="default" w:ascii="Times New Roman" w:hAnsi="Times New Roman" w:cs="Times New Roman"/>
                <w:color w:val="auto"/>
              </w:rPr>
              <w:t>85</w:t>
            </w:r>
          </w:p>
        </w:tc>
        <w:tc>
          <w:tcPr>
            <w:tcW w:w="1461" w:type="dxa"/>
            <w:vMerge w:val="continue"/>
            <w:vAlign w:val="center"/>
          </w:tcPr>
          <w:p w14:paraId="50FABD63">
            <w:pPr>
              <w:pStyle w:val="23"/>
              <w:bidi w:val="0"/>
              <w:rPr>
                <w:rFonts w:hint="default" w:ascii="Times New Roman" w:hAnsi="Times New Roman" w:cs="Times New Roman"/>
                <w:color w:val="auto"/>
              </w:rPr>
            </w:pPr>
          </w:p>
        </w:tc>
        <w:tc>
          <w:tcPr>
            <w:tcW w:w="877" w:type="dxa"/>
            <w:vAlign w:val="center"/>
          </w:tcPr>
          <w:p w14:paraId="53419748">
            <w:pPr>
              <w:pStyle w:val="23"/>
              <w:bidi w:val="0"/>
              <w:rPr>
                <w:rFonts w:hint="default" w:ascii="Times New Roman" w:hAnsi="Times New Roman" w:cs="Times New Roman"/>
                <w:color w:val="auto"/>
              </w:rPr>
            </w:pPr>
            <w:r>
              <w:rPr>
                <w:rFonts w:hint="default" w:ascii="Times New Roman" w:hAnsi="Times New Roman" w:cs="Times New Roman"/>
                <w:color w:val="auto"/>
              </w:rPr>
              <w:t>&gt;20</w:t>
            </w:r>
          </w:p>
        </w:tc>
        <w:tc>
          <w:tcPr>
            <w:tcW w:w="1106" w:type="dxa"/>
            <w:vMerge w:val="continue"/>
            <w:tcBorders>
              <w:right w:val="nil"/>
            </w:tcBorders>
            <w:vAlign w:val="center"/>
          </w:tcPr>
          <w:p w14:paraId="355C4D82">
            <w:pPr>
              <w:pStyle w:val="23"/>
              <w:bidi w:val="0"/>
              <w:rPr>
                <w:rFonts w:hint="default" w:ascii="Times New Roman" w:hAnsi="Times New Roman" w:cs="Times New Roman"/>
                <w:color w:val="auto"/>
              </w:rPr>
            </w:pPr>
          </w:p>
        </w:tc>
      </w:tr>
      <w:tr w14:paraId="3B9A90DF">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0" w:type="dxa"/>
            <w:vMerge w:val="continue"/>
            <w:tcBorders>
              <w:left w:val="nil"/>
            </w:tcBorders>
            <w:vAlign w:val="center"/>
          </w:tcPr>
          <w:p w14:paraId="108634EB">
            <w:pPr>
              <w:pStyle w:val="23"/>
              <w:bidi w:val="0"/>
              <w:rPr>
                <w:rFonts w:hint="default" w:ascii="Times New Roman" w:hAnsi="Times New Roman" w:cs="Times New Roman"/>
                <w:color w:val="auto"/>
              </w:rPr>
            </w:pPr>
          </w:p>
        </w:tc>
        <w:tc>
          <w:tcPr>
            <w:tcW w:w="1723" w:type="dxa"/>
            <w:vAlign w:val="center"/>
          </w:tcPr>
          <w:p w14:paraId="4D4F364F">
            <w:pPr>
              <w:pStyle w:val="23"/>
              <w:bidi w:val="0"/>
              <w:rPr>
                <w:rFonts w:hint="default" w:ascii="Times New Roman" w:hAnsi="Times New Roman" w:cs="Times New Roman"/>
                <w:color w:val="auto"/>
                <w:lang w:eastAsia="zh-CN"/>
              </w:rPr>
            </w:pPr>
            <w:r>
              <w:rPr>
                <w:rFonts w:hint="default" w:ascii="Times New Roman" w:hAnsi="Times New Roman" w:cs="Times New Roman"/>
                <w:color w:val="auto"/>
              </w:rPr>
              <w:t>清水</w:t>
            </w:r>
            <w:r>
              <w:rPr>
                <w:rFonts w:hint="default" w:ascii="Times New Roman" w:hAnsi="Times New Roman" w:cs="Times New Roman"/>
                <w:color w:val="auto"/>
                <w:lang w:val="en-US" w:eastAsia="zh-CN"/>
              </w:rPr>
              <w:t>泵</w:t>
            </w:r>
          </w:p>
        </w:tc>
        <w:tc>
          <w:tcPr>
            <w:tcW w:w="1027" w:type="dxa"/>
            <w:vMerge w:val="continue"/>
            <w:vAlign w:val="center"/>
          </w:tcPr>
          <w:p w14:paraId="139A6C38">
            <w:pPr>
              <w:pStyle w:val="23"/>
              <w:bidi w:val="0"/>
              <w:rPr>
                <w:rFonts w:hint="default" w:ascii="Times New Roman" w:hAnsi="Times New Roman" w:cs="Times New Roman"/>
                <w:color w:val="auto"/>
              </w:rPr>
            </w:pPr>
          </w:p>
        </w:tc>
        <w:tc>
          <w:tcPr>
            <w:tcW w:w="840" w:type="dxa"/>
            <w:vAlign w:val="center"/>
          </w:tcPr>
          <w:p w14:paraId="2EFC2956">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077" w:type="dxa"/>
            <w:vAlign w:val="center"/>
          </w:tcPr>
          <w:p w14:paraId="45144E0B">
            <w:pPr>
              <w:pStyle w:val="23"/>
              <w:bidi w:val="0"/>
              <w:rPr>
                <w:rFonts w:hint="default" w:ascii="Times New Roman" w:hAnsi="Times New Roman" w:cs="Times New Roman"/>
                <w:color w:val="auto"/>
              </w:rPr>
            </w:pPr>
            <w:r>
              <w:rPr>
                <w:rFonts w:hint="default" w:ascii="Times New Roman" w:hAnsi="Times New Roman" w:cs="Times New Roman"/>
                <w:color w:val="auto"/>
              </w:rPr>
              <w:t>90</w:t>
            </w:r>
          </w:p>
        </w:tc>
        <w:tc>
          <w:tcPr>
            <w:tcW w:w="1461" w:type="dxa"/>
            <w:vMerge w:val="continue"/>
            <w:vAlign w:val="center"/>
          </w:tcPr>
          <w:p w14:paraId="5382F430">
            <w:pPr>
              <w:pStyle w:val="23"/>
              <w:bidi w:val="0"/>
              <w:rPr>
                <w:rFonts w:hint="default" w:ascii="Times New Roman" w:hAnsi="Times New Roman" w:cs="Times New Roman"/>
                <w:color w:val="auto"/>
              </w:rPr>
            </w:pPr>
          </w:p>
        </w:tc>
        <w:tc>
          <w:tcPr>
            <w:tcW w:w="877" w:type="dxa"/>
            <w:vAlign w:val="center"/>
          </w:tcPr>
          <w:p w14:paraId="3FC66AFD">
            <w:pPr>
              <w:pStyle w:val="23"/>
              <w:bidi w:val="0"/>
              <w:rPr>
                <w:rFonts w:hint="default" w:ascii="Times New Roman" w:hAnsi="Times New Roman" w:cs="Times New Roman"/>
                <w:color w:val="auto"/>
              </w:rPr>
            </w:pPr>
            <w:r>
              <w:rPr>
                <w:rFonts w:hint="default" w:ascii="Times New Roman" w:hAnsi="Times New Roman" w:cs="Times New Roman"/>
                <w:color w:val="auto"/>
              </w:rPr>
              <w:t>&gt;20</w:t>
            </w:r>
          </w:p>
        </w:tc>
        <w:tc>
          <w:tcPr>
            <w:tcW w:w="1106" w:type="dxa"/>
            <w:vMerge w:val="continue"/>
            <w:tcBorders>
              <w:right w:val="nil"/>
            </w:tcBorders>
            <w:vAlign w:val="center"/>
          </w:tcPr>
          <w:p w14:paraId="409D61F3">
            <w:pPr>
              <w:pStyle w:val="23"/>
              <w:bidi w:val="0"/>
              <w:rPr>
                <w:rFonts w:hint="default" w:ascii="Times New Roman" w:hAnsi="Times New Roman" w:cs="Times New Roman"/>
                <w:color w:val="auto"/>
              </w:rPr>
            </w:pPr>
          </w:p>
        </w:tc>
      </w:tr>
      <w:tr w14:paraId="35F31F5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0" w:type="dxa"/>
            <w:vMerge w:val="continue"/>
            <w:tcBorders>
              <w:left w:val="nil"/>
            </w:tcBorders>
            <w:vAlign w:val="center"/>
          </w:tcPr>
          <w:p w14:paraId="10C6ED23">
            <w:pPr>
              <w:pStyle w:val="23"/>
              <w:bidi w:val="0"/>
              <w:rPr>
                <w:rFonts w:hint="default" w:ascii="Times New Roman" w:hAnsi="Times New Roman" w:cs="Times New Roman"/>
                <w:color w:val="auto"/>
              </w:rPr>
            </w:pPr>
          </w:p>
        </w:tc>
        <w:tc>
          <w:tcPr>
            <w:tcW w:w="1723" w:type="dxa"/>
            <w:vAlign w:val="center"/>
          </w:tcPr>
          <w:p w14:paraId="7B27BB7F">
            <w:pPr>
              <w:pStyle w:val="23"/>
              <w:bidi w:val="0"/>
              <w:rPr>
                <w:rFonts w:hint="default" w:ascii="Times New Roman" w:hAnsi="Times New Roman" w:cs="Times New Roman"/>
                <w:color w:val="auto"/>
              </w:rPr>
            </w:pPr>
            <w:r>
              <w:rPr>
                <w:rFonts w:hint="default" w:ascii="Times New Roman" w:hAnsi="Times New Roman" w:cs="Times New Roman"/>
                <w:color w:val="auto"/>
              </w:rPr>
              <w:t>潜水泵</w:t>
            </w:r>
          </w:p>
        </w:tc>
        <w:tc>
          <w:tcPr>
            <w:tcW w:w="1027" w:type="dxa"/>
            <w:vMerge w:val="continue"/>
            <w:vAlign w:val="center"/>
          </w:tcPr>
          <w:p w14:paraId="690207EB">
            <w:pPr>
              <w:pStyle w:val="23"/>
              <w:bidi w:val="0"/>
              <w:rPr>
                <w:rFonts w:hint="default" w:ascii="Times New Roman" w:hAnsi="Times New Roman" w:cs="Times New Roman"/>
                <w:color w:val="auto"/>
              </w:rPr>
            </w:pPr>
          </w:p>
        </w:tc>
        <w:tc>
          <w:tcPr>
            <w:tcW w:w="840" w:type="dxa"/>
            <w:vAlign w:val="center"/>
          </w:tcPr>
          <w:p w14:paraId="53AE5E9E">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077" w:type="dxa"/>
            <w:vAlign w:val="center"/>
          </w:tcPr>
          <w:p w14:paraId="77B9C7C2">
            <w:pPr>
              <w:pStyle w:val="23"/>
              <w:bidi w:val="0"/>
              <w:rPr>
                <w:rFonts w:hint="default" w:ascii="Times New Roman" w:hAnsi="Times New Roman" w:cs="Times New Roman"/>
                <w:color w:val="auto"/>
              </w:rPr>
            </w:pPr>
            <w:r>
              <w:rPr>
                <w:rFonts w:hint="default" w:ascii="Times New Roman" w:hAnsi="Times New Roman" w:cs="Times New Roman"/>
                <w:color w:val="auto"/>
              </w:rPr>
              <w:t>90</w:t>
            </w:r>
          </w:p>
        </w:tc>
        <w:tc>
          <w:tcPr>
            <w:tcW w:w="1461" w:type="dxa"/>
            <w:vMerge w:val="continue"/>
            <w:vAlign w:val="center"/>
          </w:tcPr>
          <w:p w14:paraId="12F1B092">
            <w:pPr>
              <w:pStyle w:val="23"/>
              <w:bidi w:val="0"/>
              <w:rPr>
                <w:rFonts w:hint="default" w:ascii="Times New Roman" w:hAnsi="Times New Roman" w:cs="Times New Roman"/>
                <w:color w:val="auto"/>
              </w:rPr>
            </w:pPr>
          </w:p>
        </w:tc>
        <w:tc>
          <w:tcPr>
            <w:tcW w:w="877" w:type="dxa"/>
            <w:vAlign w:val="center"/>
          </w:tcPr>
          <w:p w14:paraId="6A1DE9DC">
            <w:pPr>
              <w:pStyle w:val="23"/>
              <w:bidi w:val="0"/>
              <w:rPr>
                <w:rFonts w:hint="default" w:ascii="Times New Roman" w:hAnsi="Times New Roman" w:cs="Times New Roman"/>
                <w:color w:val="auto"/>
              </w:rPr>
            </w:pPr>
            <w:r>
              <w:rPr>
                <w:rFonts w:hint="default" w:ascii="Times New Roman" w:hAnsi="Times New Roman" w:cs="Times New Roman"/>
                <w:color w:val="auto"/>
              </w:rPr>
              <w:t>&gt;20</w:t>
            </w:r>
          </w:p>
        </w:tc>
        <w:tc>
          <w:tcPr>
            <w:tcW w:w="1106" w:type="dxa"/>
            <w:vMerge w:val="continue"/>
            <w:tcBorders>
              <w:right w:val="nil"/>
            </w:tcBorders>
            <w:vAlign w:val="center"/>
          </w:tcPr>
          <w:p w14:paraId="449BA423">
            <w:pPr>
              <w:pStyle w:val="23"/>
              <w:bidi w:val="0"/>
              <w:rPr>
                <w:rFonts w:hint="default" w:ascii="Times New Roman" w:hAnsi="Times New Roman" w:cs="Times New Roman"/>
                <w:color w:val="auto"/>
              </w:rPr>
            </w:pPr>
          </w:p>
        </w:tc>
      </w:tr>
      <w:tr w14:paraId="5B7D547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0" w:type="dxa"/>
            <w:vMerge w:val="continue"/>
            <w:tcBorders>
              <w:left w:val="nil"/>
            </w:tcBorders>
            <w:vAlign w:val="center"/>
          </w:tcPr>
          <w:p w14:paraId="25D7A785">
            <w:pPr>
              <w:pStyle w:val="23"/>
              <w:bidi w:val="0"/>
              <w:rPr>
                <w:rFonts w:hint="default" w:ascii="Times New Roman" w:hAnsi="Times New Roman" w:cs="Times New Roman"/>
                <w:color w:val="auto"/>
              </w:rPr>
            </w:pPr>
          </w:p>
        </w:tc>
        <w:tc>
          <w:tcPr>
            <w:tcW w:w="1723" w:type="dxa"/>
            <w:vAlign w:val="center"/>
          </w:tcPr>
          <w:p w14:paraId="1E90112E">
            <w:pPr>
              <w:pStyle w:val="23"/>
              <w:bidi w:val="0"/>
              <w:rPr>
                <w:rFonts w:hint="default" w:ascii="Times New Roman" w:hAnsi="Times New Roman" w:cs="Times New Roman"/>
                <w:color w:val="auto"/>
              </w:rPr>
            </w:pPr>
            <w:r>
              <w:rPr>
                <w:rFonts w:hint="default" w:ascii="Times New Roman" w:hAnsi="Times New Roman" w:cs="Times New Roman"/>
                <w:color w:val="auto"/>
              </w:rPr>
              <w:t>清洗泵</w:t>
            </w:r>
          </w:p>
        </w:tc>
        <w:tc>
          <w:tcPr>
            <w:tcW w:w="1027" w:type="dxa"/>
            <w:vMerge w:val="continue"/>
            <w:vAlign w:val="center"/>
          </w:tcPr>
          <w:p w14:paraId="442B6089">
            <w:pPr>
              <w:pStyle w:val="23"/>
              <w:bidi w:val="0"/>
              <w:rPr>
                <w:rFonts w:hint="default" w:ascii="Times New Roman" w:hAnsi="Times New Roman" w:cs="Times New Roman"/>
                <w:color w:val="auto"/>
              </w:rPr>
            </w:pPr>
          </w:p>
        </w:tc>
        <w:tc>
          <w:tcPr>
            <w:tcW w:w="840" w:type="dxa"/>
            <w:vAlign w:val="center"/>
          </w:tcPr>
          <w:p w14:paraId="1C52076B">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077" w:type="dxa"/>
            <w:vAlign w:val="center"/>
          </w:tcPr>
          <w:p w14:paraId="10BBADCF">
            <w:pPr>
              <w:pStyle w:val="23"/>
              <w:bidi w:val="0"/>
              <w:rPr>
                <w:rFonts w:hint="default" w:ascii="Times New Roman" w:hAnsi="Times New Roman" w:cs="Times New Roman"/>
                <w:color w:val="auto"/>
              </w:rPr>
            </w:pPr>
            <w:r>
              <w:rPr>
                <w:rFonts w:hint="default" w:ascii="Times New Roman" w:hAnsi="Times New Roman" w:cs="Times New Roman"/>
                <w:color w:val="auto"/>
              </w:rPr>
              <w:t>90</w:t>
            </w:r>
          </w:p>
        </w:tc>
        <w:tc>
          <w:tcPr>
            <w:tcW w:w="1461" w:type="dxa"/>
            <w:vMerge w:val="continue"/>
            <w:vAlign w:val="center"/>
          </w:tcPr>
          <w:p w14:paraId="124D6BF4">
            <w:pPr>
              <w:pStyle w:val="23"/>
              <w:bidi w:val="0"/>
              <w:rPr>
                <w:rFonts w:hint="default" w:ascii="Times New Roman" w:hAnsi="Times New Roman" w:cs="Times New Roman"/>
                <w:color w:val="auto"/>
              </w:rPr>
            </w:pPr>
          </w:p>
        </w:tc>
        <w:tc>
          <w:tcPr>
            <w:tcW w:w="877" w:type="dxa"/>
            <w:vAlign w:val="center"/>
          </w:tcPr>
          <w:p w14:paraId="731D7D2A">
            <w:pPr>
              <w:pStyle w:val="23"/>
              <w:bidi w:val="0"/>
              <w:rPr>
                <w:rFonts w:hint="default" w:ascii="Times New Roman" w:hAnsi="Times New Roman" w:cs="Times New Roman"/>
                <w:color w:val="auto"/>
              </w:rPr>
            </w:pPr>
            <w:r>
              <w:rPr>
                <w:rFonts w:hint="default" w:ascii="Times New Roman" w:hAnsi="Times New Roman" w:cs="Times New Roman"/>
                <w:color w:val="auto"/>
              </w:rPr>
              <w:t>&gt;20</w:t>
            </w:r>
          </w:p>
        </w:tc>
        <w:tc>
          <w:tcPr>
            <w:tcW w:w="1106" w:type="dxa"/>
            <w:vMerge w:val="continue"/>
            <w:tcBorders>
              <w:right w:val="nil"/>
            </w:tcBorders>
            <w:vAlign w:val="center"/>
          </w:tcPr>
          <w:p w14:paraId="441119D8">
            <w:pPr>
              <w:pStyle w:val="23"/>
              <w:bidi w:val="0"/>
              <w:rPr>
                <w:rFonts w:hint="default" w:ascii="Times New Roman" w:hAnsi="Times New Roman" w:cs="Times New Roman"/>
                <w:color w:val="auto"/>
              </w:rPr>
            </w:pPr>
          </w:p>
        </w:tc>
      </w:tr>
      <w:tr w14:paraId="4123A19C">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960" w:type="dxa"/>
            <w:vMerge w:val="continue"/>
            <w:tcBorders>
              <w:left w:val="nil"/>
            </w:tcBorders>
            <w:vAlign w:val="center"/>
          </w:tcPr>
          <w:p w14:paraId="60DE9EE1">
            <w:pPr>
              <w:pStyle w:val="23"/>
              <w:bidi w:val="0"/>
              <w:rPr>
                <w:rFonts w:hint="default" w:ascii="Times New Roman" w:hAnsi="Times New Roman" w:cs="Times New Roman"/>
                <w:color w:val="auto"/>
              </w:rPr>
            </w:pPr>
          </w:p>
        </w:tc>
        <w:tc>
          <w:tcPr>
            <w:tcW w:w="1723" w:type="dxa"/>
            <w:vAlign w:val="center"/>
          </w:tcPr>
          <w:p w14:paraId="517712B2">
            <w:pPr>
              <w:pStyle w:val="23"/>
              <w:bidi w:val="0"/>
              <w:rPr>
                <w:rFonts w:hint="default" w:ascii="Times New Roman" w:hAnsi="Times New Roman" w:cs="Times New Roman"/>
                <w:color w:val="auto"/>
              </w:rPr>
            </w:pPr>
            <w:r>
              <w:rPr>
                <w:rFonts w:hint="default" w:ascii="Times New Roman" w:hAnsi="Times New Roman" w:cs="Times New Roman"/>
                <w:color w:val="auto"/>
              </w:rPr>
              <w:t>混和计量泵</w:t>
            </w:r>
          </w:p>
        </w:tc>
        <w:tc>
          <w:tcPr>
            <w:tcW w:w="1027" w:type="dxa"/>
            <w:vMerge w:val="continue"/>
            <w:vAlign w:val="center"/>
          </w:tcPr>
          <w:p w14:paraId="5871E62C">
            <w:pPr>
              <w:pStyle w:val="23"/>
              <w:bidi w:val="0"/>
              <w:rPr>
                <w:rFonts w:hint="default" w:ascii="Times New Roman" w:hAnsi="Times New Roman" w:cs="Times New Roman"/>
                <w:color w:val="auto"/>
              </w:rPr>
            </w:pPr>
          </w:p>
        </w:tc>
        <w:tc>
          <w:tcPr>
            <w:tcW w:w="840" w:type="dxa"/>
            <w:vAlign w:val="center"/>
          </w:tcPr>
          <w:p w14:paraId="5888F790">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077" w:type="dxa"/>
            <w:vAlign w:val="center"/>
          </w:tcPr>
          <w:p w14:paraId="32AD16F6">
            <w:pPr>
              <w:pStyle w:val="23"/>
              <w:bidi w:val="0"/>
              <w:rPr>
                <w:rFonts w:hint="default" w:ascii="Times New Roman" w:hAnsi="Times New Roman" w:cs="Times New Roman"/>
                <w:color w:val="auto"/>
              </w:rPr>
            </w:pPr>
            <w:r>
              <w:rPr>
                <w:rFonts w:hint="default" w:ascii="Times New Roman" w:hAnsi="Times New Roman" w:cs="Times New Roman"/>
                <w:color w:val="auto"/>
              </w:rPr>
              <w:t>90</w:t>
            </w:r>
          </w:p>
        </w:tc>
        <w:tc>
          <w:tcPr>
            <w:tcW w:w="1461" w:type="dxa"/>
            <w:vMerge w:val="continue"/>
            <w:vAlign w:val="center"/>
          </w:tcPr>
          <w:p w14:paraId="5A5FE764">
            <w:pPr>
              <w:pStyle w:val="23"/>
              <w:bidi w:val="0"/>
              <w:rPr>
                <w:rFonts w:hint="default" w:ascii="Times New Roman" w:hAnsi="Times New Roman" w:cs="Times New Roman"/>
                <w:color w:val="auto"/>
              </w:rPr>
            </w:pPr>
          </w:p>
        </w:tc>
        <w:tc>
          <w:tcPr>
            <w:tcW w:w="877" w:type="dxa"/>
            <w:vAlign w:val="center"/>
          </w:tcPr>
          <w:p w14:paraId="2774B87B">
            <w:pPr>
              <w:pStyle w:val="23"/>
              <w:bidi w:val="0"/>
              <w:rPr>
                <w:rFonts w:hint="default" w:ascii="Times New Roman" w:hAnsi="Times New Roman" w:cs="Times New Roman"/>
                <w:color w:val="auto"/>
              </w:rPr>
            </w:pPr>
            <w:r>
              <w:rPr>
                <w:rFonts w:hint="default" w:ascii="Times New Roman" w:hAnsi="Times New Roman" w:cs="Times New Roman"/>
                <w:color w:val="auto"/>
              </w:rPr>
              <w:t>&gt;20</w:t>
            </w:r>
          </w:p>
        </w:tc>
        <w:tc>
          <w:tcPr>
            <w:tcW w:w="1106" w:type="dxa"/>
            <w:vMerge w:val="continue"/>
            <w:tcBorders>
              <w:right w:val="nil"/>
            </w:tcBorders>
            <w:vAlign w:val="center"/>
          </w:tcPr>
          <w:p w14:paraId="39B75D6A">
            <w:pPr>
              <w:pStyle w:val="23"/>
              <w:bidi w:val="0"/>
              <w:rPr>
                <w:rFonts w:hint="default" w:ascii="Times New Roman" w:hAnsi="Times New Roman" w:cs="Times New Roman"/>
                <w:color w:val="auto"/>
              </w:rPr>
            </w:pPr>
          </w:p>
        </w:tc>
      </w:tr>
      <w:tr w14:paraId="1A474F0D">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PrEx>
        <w:trPr>
          <w:trHeight w:val="340" w:hRule="atLeast"/>
          <w:jc w:val="center"/>
        </w:trPr>
        <w:tc>
          <w:tcPr>
            <w:tcW w:w="960" w:type="dxa"/>
            <w:vMerge w:val="continue"/>
            <w:tcBorders>
              <w:left w:val="nil"/>
            </w:tcBorders>
            <w:vAlign w:val="center"/>
          </w:tcPr>
          <w:p w14:paraId="54DFA939">
            <w:pPr>
              <w:pStyle w:val="23"/>
              <w:bidi w:val="0"/>
              <w:rPr>
                <w:rFonts w:hint="default" w:ascii="Times New Roman" w:hAnsi="Times New Roman" w:cs="Times New Roman"/>
                <w:color w:val="auto"/>
              </w:rPr>
            </w:pPr>
          </w:p>
        </w:tc>
        <w:tc>
          <w:tcPr>
            <w:tcW w:w="1723" w:type="dxa"/>
            <w:vAlign w:val="center"/>
          </w:tcPr>
          <w:p w14:paraId="312C7011">
            <w:pPr>
              <w:pStyle w:val="23"/>
              <w:bidi w:val="0"/>
              <w:rPr>
                <w:rFonts w:hint="default" w:ascii="Times New Roman" w:hAnsi="Times New Roman" w:cs="Times New Roman"/>
                <w:color w:val="auto"/>
              </w:rPr>
            </w:pPr>
            <w:r>
              <w:rPr>
                <w:rFonts w:hint="default" w:ascii="Times New Roman" w:hAnsi="Times New Roman" w:cs="Times New Roman"/>
                <w:color w:val="auto"/>
              </w:rPr>
              <w:t>养护输送机</w:t>
            </w:r>
          </w:p>
        </w:tc>
        <w:tc>
          <w:tcPr>
            <w:tcW w:w="1027" w:type="dxa"/>
            <w:vMerge w:val="continue"/>
            <w:vAlign w:val="center"/>
          </w:tcPr>
          <w:p w14:paraId="01B57022">
            <w:pPr>
              <w:pStyle w:val="23"/>
              <w:bidi w:val="0"/>
              <w:rPr>
                <w:rFonts w:hint="default" w:ascii="Times New Roman" w:hAnsi="Times New Roman" w:cs="Times New Roman"/>
                <w:color w:val="auto"/>
              </w:rPr>
            </w:pPr>
          </w:p>
        </w:tc>
        <w:tc>
          <w:tcPr>
            <w:tcW w:w="840" w:type="dxa"/>
            <w:vAlign w:val="center"/>
          </w:tcPr>
          <w:p w14:paraId="3DEBB98F">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077" w:type="dxa"/>
            <w:vAlign w:val="center"/>
          </w:tcPr>
          <w:p w14:paraId="1486FC17">
            <w:pPr>
              <w:pStyle w:val="23"/>
              <w:bidi w:val="0"/>
              <w:rPr>
                <w:rFonts w:hint="default" w:ascii="Times New Roman" w:hAnsi="Times New Roman" w:cs="Times New Roman"/>
                <w:color w:val="auto"/>
              </w:rPr>
            </w:pPr>
            <w:r>
              <w:rPr>
                <w:rFonts w:hint="default" w:ascii="Times New Roman" w:hAnsi="Times New Roman" w:cs="Times New Roman"/>
                <w:color w:val="auto"/>
              </w:rPr>
              <w:t>80</w:t>
            </w:r>
          </w:p>
        </w:tc>
        <w:tc>
          <w:tcPr>
            <w:tcW w:w="1461" w:type="dxa"/>
            <w:vMerge w:val="continue"/>
            <w:vAlign w:val="center"/>
          </w:tcPr>
          <w:p w14:paraId="7CD5385E">
            <w:pPr>
              <w:pStyle w:val="23"/>
              <w:bidi w:val="0"/>
              <w:rPr>
                <w:rFonts w:hint="default" w:ascii="Times New Roman" w:hAnsi="Times New Roman" w:cs="Times New Roman"/>
                <w:color w:val="auto"/>
              </w:rPr>
            </w:pPr>
          </w:p>
        </w:tc>
        <w:tc>
          <w:tcPr>
            <w:tcW w:w="877" w:type="dxa"/>
            <w:vAlign w:val="center"/>
          </w:tcPr>
          <w:p w14:paraId="0E41A77C">
            <w:pPr>
              <w:pStyle w:val="23"/>
              <w:bidi w:val="0"/>
              <w:rPr>
                <w:rFonts w:hint="default" w:ascii="Times New Roman" w:hAnsi="Times New Roman" w:cs="Times New Roman"/>
                <w:color w:val="auto"/>
              </w:rPr>
            </w:pPr>
            <w:r>
              <w:rPr>
                <w:rFonts w:hint="default" w:ascii="Times New Roman" w:hAnsi="Times New Roman" w:cs="Times New Roman"/>
                <w:color w:val="auto"/>
              </w:rPr>
              <w:t>&gt;20</w:t>
            </w:r>
          </w:p>
        </w:tc>
        <w:tc>
          <w:tcPr>
            <w:tcW w:w="1106" w:type="dxa"/>
            <w:vMerge w:val="continue"/>
            <w:tcBorders>
              <w:right w:val="nil"/>
            </w:tcBorders>
            <w:vAlign w:val="center"/>
          </w:tcPr>
          <w:p w14:paraId="784E2191">
            <w:pPr>
              <w:pStyle w:val="23"/>
              <w:bidi w:val="0"/>
              <w:rPr>
                <w:rFonts w:hint="default" w:ascii="Times New Roman" w:hAnsi="Times New Roman" w:cs="Times New Roman"/>
                <w:color w:val="auto"/>
              </w:rPr>
            </w:pPr>
          </w:p>
        </w:tc>
      </w:tr>
    </w:tbl>
    <w:tbl>
      <w:tblPr>
        <w:tblStyle w:val="15"/>
        <w:tblW w:w="9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2"/>
        <w:gridCol w:w="4503"/>
      </w:tblGrid>
      <w:tr w14:paraId="11727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8" w:hRule="atLeast"/>
        </w:trPr>
        <w:tc>
          <w:tcPr>
            <w:tcW w:w="4502" w:type="dxa"/>
          </w:tcPr>
          <w:p w14:paraId="0DA6EEAA">
            <w:pPr>
              <w:pStyle w:val="24"/>
              <w:widowControl w:val="0"/>
              <w:bidi w:val="0"/>
              <w:rPr>
                <w:rFonts w:hint="default" w:ascii="Times New Roman" w:hAnsi="Times New Roman" w:cs="Times New Roman" w:eastAsiaTheme="minorEastAsia"/>
                <w:color w:val="auto"/>
                <w:lang w:eastAsia="zh-CN"/>
              </w:rPr>
            </w:pPr>
          </w:p>
        </w:tc>
        <w:tc>
          <w:tcPr>
            <w:tcW w:w="4503" w:type="dxa"/>
          </w:tcPr>
          <w:p w14:paraId="5FB7A6D6">
            <w:pPr>
              <w:pStyle w:val="24"/>
              <w:widowControl w:val="0"/>
              <w:bidi w:val="0"/>
              <w:rPr>
                <w:rFonts w:hint="default" w:ascii="Times New Roman" w:hAnsi="Times New Roman" w:cs="Times New Roman"/>
                <w:color w:val="auto"/>
              </w:rPr>
            </w:pPr>
          </w:p>
        </w:tc>
      </w:tr>
      <w:tr w14:paraId="2599A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02" w:type="dxa"/>
            <w:vAlign w:val="top"/>
          </w:tcPr>
          <w:p w14:paraId="5B5750E9">
            <w:pPr>
              <w:pStyle w:val="25"/>
              <w:widowControl w:val="0"/>
              <w:bidi w:val="0"/>
              <w:rPr>
                <w:rFonts w:hint="default" w:ascii="Times New Roman" w:hAnsi="Times New Roman" w:cs="Times New Roman"/>
                <w:color w:val="auto"/>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eastAsia" w:cs="Times New Roman"/>
                <w:color w:val="auto"/>
                <w:lang w:val="en-US" w:eastAsia="zh-CN"/>
              </w:rPr>
              <w:t>10</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 xml:space="preserve"> </w:t>
            </w:r>
            <w:r>
              <w:rPr>
                <w:rFonts w:hint="eastAsia" w:cs="Times New Roman"/>
                <w:color w:val="auto"/>
                <w:lang w:val="en-US" w:eastAsia="zh-CN"/>
              </w:rPr>
              <w:t>厂房的降噪</w:t>
            </w:r>
            <w:r>
              <w:rPr>
                <w:rFonts w:hint="default" w:ascii="Times New Roman" w:hAnsi="Times New Roman" w:cs="Times New Roman"/>
                <w:color w:val="auto"/>
              </w:rPr>
              <w:t>措施</w:t>
            </w:r>
          </w:p>
        </w:tc>
        <w:tc>
          <w:tcPr>
            <w:tcW w:w="4503" w:type="dxa"/>
            <w:vAlign w:val="top"/>
          </w:tcPr>
          <w:p w14:paraId="018DA3EB">
            <w:pPr>
              <w:pStyle w:val="25"/>
              <w:widowControl w:val="0"/>
              <w:bidi w:val="0"/>
              <w:rPr>
                <w:rFonts w:hint="default" w:ascii="Times New Roman" w:hAnsi="Times New Roman" w:cs="Times New Roman"/>
                <w:color w:val="auto"/>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1</w:t>
            </w:r>
            <w:r>
              <w:rPr>
                <w:rFonts w:hint="eastAsia" w:cs="Times New Roman"/>
                <w:color w:val="auto"/>
                <w:lang w:val="en-US" w:eastAsia="zh-CN"/>
              </w:rPr>
              <w:t>1</w:t>
            </w:r>
            <w:r>
              <w:rPr>
                <w:rFonts w:hint="default" w:ascii="Times New Roman" w:hAnsi="Times New Roman" w:cs="Times New Roman"/>
                <w:color w:val="auto"/>
              </w:rPr>
              <w:t xml:space="preserve"> </w:t>
            </w:r>
            <w:r>
              <w:rPr>
                <w:rFonts w:hint="eastAsia" w:ascii="Times New Roman" w:hAnsi="Times New Roman" w:cs="Times New Roman"/>
                <w:color w:val="auto"/>
                <w:lang w:val="en-US" w:eastAsia="zh-CN"/>
              </w:rPr>
              <w:t>泵房</w:t>
            </w:r>
            <w:r>
              <w:rPr>
                <w:rFonts w:hint="default" w:ascii="Times New Roman" w:hAnsi="Times New Roman" w:cs="Times New Roman"/>
                <w:color w:val="auto"/>
              </w:rPr>
              <w:t>的</w:t>
            </w:r>
            <w:r>
              <w:rPr>
                <w:rFonts w:hint="default" w:ascii="Times New Roman" w:hAnsi="Times New Roman" w:cs="Times New Roman"/>
                <w:color w:val="auto"/>
                <w:lang w:val="en-US" w:eastAsia="zh-CN"/>
              </w:rPr>
              <w:t>降噪</w:t>
            </w:r>
            <w:r>
              <w:rPr>
                <w:rFonts w:hint="default" w:ascii="Times New Roman" w:hAnsi="Times New Roman" w:cs="Times New Roman"/>
                <w:color w:val="auto"/>
              </w:rPr>
              <w:t>措施</w:t>
            </w:r>
          </w:p>
        </w:tc>
      </w:tr>
    </w:tbl>
    <w:p w14:paraId="0A2D2C68">
      <w:pPr>
        <w:pStyle w:val="4"/>
        <w:bidi w:val="0"/>
        <w:rPr>
          <w:rFonts w:hint="default" w:ascii="Times New Roman" w:hAnsi="Times New Roman" w:cs="Times New Roman"/>
          <w:color w:val="auto"/>
        </w:rPr>
      </w:pPr>
      <w:bookmarkStart w:id="33" w:name="_Toc16160"/>
      <w:r>
        <w:rPr>
          <w:rFonts w:hint="default" w:ascii="Times New Roman" w:hAnsi="Times New Roman" w:cs="Times New Roman"/>
          <w:color w:val="auto"/>
        </w:rPr>
        <w:t>4.1.4固废治理措施</w:t>
      </w:r>
      <w:bookmarkEnd w:id="33"/>
    </w:p>
    <w:p w14:paraId="5687463F">
      <w:pPr>
        <w:spacing w:before="0" w:line="360" w:lineRule="auto"/>
        <w:ind w:left="0" w:firstLine="456" w:firstLineChars="200"/>
        <w:rPr>
          <w:rFonts w:hint="default" w:ascii="Times New Roman" w:hAnsi="Times New Roman" w:eastAsia="宋体" w:cs="Times New Roman"/>
          <w:color w:val="auto"/>
          <w:spacing w:val="-6"/>
          <w:sz w:val="24"/>
          <w:szCs w:val="24"/>
        </w:rPr>
      </w:pPr>
      <w:r>
        <w:rPr>
          <w:rFonts w:hint="default" w:ascii="Times New Roman" w:hAnsi="Times New Roman" w:eastAsia="宋体" w:cs="Times New Roman"/>
          <w:color w:val="auto"/>
          <w:spacing w:val="-6"/>
          <w:sz w:val="24"/>
          <w:szCs w:val="24"/>
        </w:rPr>
        <w:t>本项目产生的固体废物主要为生产过程中产生的固体废物</w:t>
      </w:r>
      <w:r>
        <w:rPr>
          <w:rFonts w:hint="eastAsia" w:cs="Times New Roman"/>
          <w:color w:val="auto"/>
          <w:spacing w:val="-6"/>
          <w:sz w:val="24"/>
          <w:szCs w:val="24"/>
          <w:lang w:val="en-US" w:eastAsia="zh-CN"/>
        </w:rPr>
        <w:t>及员工生活垃圾</w:t>
      </w:r>
      <w:r>
        <w:rPr>
          <w:rFonts w:hint="default" w:ascii="Times New Roman" w:hAnsi="Times New Roman" w:eastAsia="宋体" w:cs="Times New Roman"/>
          <w:color w:val="auto"/>
          <w:spacing w:val="-6"/>
          <w:sz w:val="24"/>
          <w:szCs w:val="24"/>
        </w:rPr>
        <w:t>。</w:t>
      </w:r>
    </w:p>
    <w:p w14:paraId="272A2637">
      <w:pPr>
        <w:spacing w:before="0" w:line="360" w:lineRule="auto"/>
        <w:ind w:left="0" w:firstLine="480" w:firstLineChars="200"/>
        <w:rPr>
          <w:rFonts w:hint="eastAsia" w:ascii="Times New Roman" w:hAnsi="Times New Roman" w:eastAsia="宋体" w:cs="Times New Roman"/>
          <w:color w:val="auto"/>
          <w:spacing w:val="-6"/>
          <w:sz w:val="24"/>
          <w:szCs w:val="24"/>
          <w:lang w:eastAsia="zh-CN"/>
        </w:rPr>
      </w:pPr>
      <w:r>
        <w:rPr>
          <w:rFonts w:hint="default" w:ascii="Times New Roman" w:hAnsi="Times New Roman" w:cs="Times New Roman"/>
          <w:color w:val="auto"/>
          <w:kern w:val="1"/>
          <w:u w:val="none"/>
          <w:lang w:val="en-US" w:eastAsia="zh-CN"/>
        </w:rPr>
        <w:t>本次扩建未新增员工，故未新增生活垃圾</w:t>
      </w:r>
      <w:r>
        <w:rPr>
          <w:rFonts w:hint="eastAsia" w:cs="Times New Roman"/>
          <w:color w:val="auto"/>
          <w:kern w:val="1"/>
          <w:u w:val="none"/>
          <w:lang w:eastAsia="zh-CN"/>
        </w:rPr>
        <w:t>，</w:t>
      </w:r>
      <w:r>
        <w:rPr>
          <w:rFonts w:hint="eastAsia" w:cs="Times New Roman"/>
          <w:color w:val="auto"/>
          <w:kern w:val="1"/>
          <w:u w:val="none"/>
          <w:lang w:val="en-US" w:eastAsia="zh-CN"/>
        </w:rPr>
        <w:t>全厂</w:t>
      </w:r>
      <w:r>
        <w:rPr>
          <w:rFonts w:hint="default" w:ascii="Times New Roman" w:hAnsi="Times New Roman" w:cs="Times New Roman"/>
          <w:color w:val="auto"/>
        </w:rPr>
        <w:t>生活垃圾由环卫部门统一收集处理</w:t>
      </w:r>
      <w:r>
        <w:rPr>
          <w:rFonts w:hint="eastAsia" w:ascii="Times New Roman" w:hAnsi="Times New Roman"/>
          <w:color w:val="auto"/>
          <w:u w:val="none"/>
          <w:lang w:eastAsia="zh-CN"/>
        </w:rPr>
        <w:t>。</w:t>
      </w:r>
    </w:p>
    <w:p w14:paraId="5374EB4E">
      <w:pPr>
        <w:spacing w:line="360" w:lineRule="auto"/>
        <w:ind w:firstLine="480" w:firstLineChars="20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固体废物主要为布袋除尘器收集的粉尘</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kern w:val="1"/>
          <w:u w:val="none"/>
          <w:lang w:val="en-US" w:eastAsia="zh-CN"/>
        </w:rPr>
        <w:t>车间废水回用池产生的沉淀渣</w:t>
      </w:r>
      <w:r>
        <w:rPr>
          <w:rFonts w:hint="default" w:ascii="Times New Roman" w:hAnsi="Times New Roman" w:cs="Times New Roman"/>
          <w:color w:val="auto"/>
          <w:kern w:val="1"/>
          <w:u w:val="none"/>
        </w:rPr>
        <w:t>、不合格的飞灰</w:t>
      </w:r>
      <w:r>
        <w:rPr>
          <w:rFonts w:hint="default" w:ascii="Times New Roman" w:hAnsi="Times New Roman" w:cs="Times New Roman"/>
          <w:color w:val="auto"/>
          <w:kern w:val="1"/>
          <w:u w:val="none"/>
          <w:lang w:val="en-US" w:eastAsia="zh-CN"/>
        </w:rPr>
        <w:t>固化物</w:t>
      </w:r>
      <w:r>
        <w:rPr>
          <w:rFonts w:hint="default" w:ascii="Times New Roman" w:hAnsi="Times New Roman" w:cs="Times New Roman"/>
          <w:color w:val="auto"/>
          <w:kern w:val="1"/>
          <w:u w:val="none"/>
        </w:rPr>
        <w:t>、定期更换的滤袋以及设备检修产生的含油抹布</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kern w:val="1"/>
          <w:u w:val="none"/>
          <w:lang w:val="en-US" w:eastAsia="zh-CN"/>
        </w:rPr>
        <w:t>废油桶</w:t>
      </w:r>
      <w:r>
        <w:rPr>
          <w:rFonts w:hint="eastAsia" w:cs="Times New Roman"/>
          <w:color w:val="auto"/>
          <w:kern w:val="1"/>
          <w:u w:val="none"/>
          <w:lang w:val="en-US" w:eastAsia="zh-CN"/>
        </w:rPr>
        <w:t>、生产过程中产生的废手套</w:t>
      </w:r>
      <w:r>
        <w:rPr>
          <w:rFonts w:hint="default" w:ascii="Times New Roman" w:hAnsi="Times New Roman" w:cs="Times New Roman"/>
          <w:color w:val="auto"/>
          <w:kern w:val="1"/>
          <w:u w:val="none"/>
        </w:rPr>
        <w:t>。</w:t>
      </w:r>
    </w:p>
    <w:p w14:paraId="35A39E45">
      <w:pPr>
        <w:spacing w:line="360" w:lineRule="auto"/>
        <w:ind w:firstLine="480" w:firstLineChars="20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布袋除尘器收集的粉尘</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kern w:val="1"/>
          <w:u w:val="none"/>
          <w:lang w:val="en-US" w:eastAsia="zh-CN"/>
        </w:rPr>
        <w:t>废水回用池沉淀渣</w:t>
      </w:r>
      <w:r>
        <w:rPr>
          <w:rFonts w:hint="default" w:ascii="Times New Roman" w:hAnsi="Times New Roman" w:cs="Times New Roman"/>
          <w:color w:val="auto"/>
          <w:kern w:val="1"/>
          <w:u w:val="none"/>
        </w:rPr>
        <w:t>纳入飞灰固化系统一起处理合格后外运。对不合格的飞灰固化体经破碎后再通过螯合处理合格后方可外运。</w:t>
      </w:r>
    </w:p>
    <w:p w14:paraId="28A01BA7">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kern w:val="1"/>
          <w:u w:val="none"/>
          <w:lang w:val="en-US" w:eastAsia="zh-CN"/>
        </w:rPr>
        <w:t>扩建项目验收期间产生</w:t>
      </w:r>
      <w:r>
        <w:rPr>
          <w:rFonts w:hint="eastAsia" w:cs="Times New Roman"/>
          <w:color w:val="auto"/>
          <w:kern w:val="1"/>
          <w:u w:val="none"/>
          <w:lang w:val="en-US" w:eastAsia="zh-CN"/>
        </w:rPr>
        <w:t>的</w:t>
      </w:r>
      <w:r>
        <w:rPr>
          <w:rFonts w:hint="default" w:ascii="Times New Roman" w:hAnsi="Times New Roman" w:cs="Times New Roman"/>
          <w:color w:val="auto"/>
          <w:kern w:val="1"/>
          <w:u w:val="none"/>
          <w:lang w:eastAsia="zh-CN"/>
        </w:rPr>
        <w:t>设备维修</w:t>
      </w:r>
      <w:r>
        <w:rPr>
          <w:rFonts w:hint="default" w:ascii="Times New Roman" w:hAnsi="Times New Roman" w:cs="Times New Roman"/>
          <w:color w:val="auto"/>
          <w:kern w:val="1"/>
          <w:u w:val="none"/>
          <w:lang w:val="en-US" w:eastAsia="zh-CN"/>
        </w:rPr>
        <w:t>使用润滑油</w:t>
      </w:r>
      <w:r>
        <w:rPr>
          <w:rFonts w:hint="default" w:ascii="Times New Roman" w:hAnsi="Times New Roman" w:cs="Times New Roman"/>
          <w:color w:val="auto"/>
          <w:kern w:val="1"/>
          <w:u w:val="none"/>
          <w:lang w:eastAsia="zh-CN"/>
        </w:rPr>
        <w:t>产生的</w:t>
      </w:r>
      <w:r>
        <w:rPr>
          <w:rFonts w:hint="default" w:ascii="Times New Roman" w:hAnsi="Times New Roman" w:cs="Times New Roman"/>
          <w:color w:val="auto"/>
          <w:kern w:val="1"/>
          <w:u w:val="none"/>
          <w:lang w:val="en-US" w:eastAsia="zh-CN"/>
        </w:rPr>
        <w:t>废油桶</w:t>
      </w:r>
      <w:r>
        <w:rPr>
          <w:rFonts w:hint="eastAsia" w:cs="Times New Roman"/>
          <w:color w:val="auto"/>
          <w:kern w:val="1"/>
          <w:u w:val="none"/>
          <w:lang w:val="en-US" w:eastAsia="zh-CN"/>
        </w:rPr>
        <w:t>0.2t/a，</w:t>
      </w:r>
      <w:r>
        <w:rPr>
          <w:rFonts w:hint="default" w:ascii="Times New Roman" w:hAnsi="Times New Roman" w:cs="Times New Roman"/>
          <w:color w:val="auto"/>
          <w:kern w:val="1"/>
          <w:u w:val="none"/>
          <w:lang w:val="en-US" w:eastAsia="zh-CN"/>
        </w:rPr>
        <w:t>破损滤袋</w:t>
      </w:r>
      <w:r>
        <w:rPr>
          <w:rFonts w:hint="eastAsia" w:cs="Times New Roman"/>
          <w:color w:val="auto"/>
          <w:kern w:val="1"/>
          <w:u w:val="none"/>
          <w:lang w:val="en-US" w:eastAsia="zh-CN"/>
        </w:rPr>
        <w:t>、废抹布、废手套1.6t/a</w:t>
      </w:r>
      <w:r>
        <w:rPr>
          <w:rFonts w:hint="default" w:ascii="Times New Roman" w:hAnsi="Times New Roman" w:cs="Times New Roman"/>
          <w:color w:val="auto"/>
          <w:kern w:val="1"/>
          <w:u w:val="none"/>
          <w:lang w:val="en-US" w:eastAsia="zh-CN"/>
        </w:rPr>
        <w:t>，</w:t>
      </w:r>
      <w:r>
        <w:rPr>
          <w:rFonts w:hint="eastAsia" w:cs="Times New Roman"/>
          <w:color w:val="auto"/>
          <w:kern w:val="1"/>
          <w:u w:val="none"/>
          <w:lang w:eastAsia="zh-CN"/>
        </w:rPr>
        <w:t>按照危险废物</w:t>
      </w:r>
      <w:r>
        <w:rPr>
          <w:rFonts w:hint="default" w:ascii="Times New Roman" w:hAnsi="Times New Roman" w:cs="Times New Roman"/>
          <w:color w:val="auto"/>
          <w:kern w:val="1"/>
          <w:u w:val="none"/>
        </w:rPr>
        <w:t>的有关规定进行管理，收集后存放于危废暂存间，</w:t>
      </w:r>
      <w:r>
        <w:rPr>
          <w:rFonts w:hint="default" w:ascii="Times New Roman" w:hAnsi="Times New Roman" w:cs="Times New Roman"/>
          <w:color w:val="auto"/>
          <w:kern w:val="1"/>
          <w:u w:val="none"/>
          <w:lang w:val="en-US" w:eastAsia="zh-CN"/>
        </w:rPr>
        <w:t>再</w:t>
      </w:r>
      <w:r>
        <w:rPr>
          <w:rFonts w:hint="default" w:ascii="Times New Roman" w:hAnsi="Times New Roman" w:cs="Times New Roman"/>
          <w:color w:val="auto"/>
          <w:kern w:val="1"/>
          <w:u w:val="none"/>
        </w:rPr>
        <w:t>委托</w:t>
      </w:r>
      <w:r>
        <w:rPr>
          <w:rFonts w:hint="default" w:ascii="Times New Roman" w:hAnsi="Times New Roman" w:cs="Times New Roman"/>
          <w:color w:val="auto"/>
          <w:kern w:val="1"/>
          <w:u w:val="none"/>
          <w:lang w:val="en-US" w:eastAsia="zh-CN"/>
        </w:rPr>
        <w:t>福建深投海峡环保科技有限公司</w:t>
      </w:r>
      <w:r>
        <w:rPr>
          <w:rFonts w:hint="default" w:ascii="Times New Roman" w:hAnsi="Times New Roman" w:cs="Times New Roman"/>
          <w:color w:val="auto"/>
          <w:kern w:val="1"/>
          <w:u w:val="none"/>
        </w:rPr>
        <w:t>统一回收处置</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kern w:val="1"/>
          <w:u w:val="none"/>
          <w:lang w:val="en-US" w:eastAsia="zh-CN"/>
        </w:rPr>
        <w:t>危险废物处置合同及处置单位相关资质见附件5</w:t>
      </w:r>
      <w:r>
        <w:rPr>
          <w:rFonts w:hint="default" w:ascii="Times New Roman" w:hAnsi="Times New Roman" w:cs="Times New Roman"/>
          <w:color w:val="auto"/>
          <w:kern w:val="1"/>
          <w:u w:val="none"/>
        </w:rPr>
        <w:t>。</w:t>
      </w:r>
    </w:p>
    <w:p w14:paraId="4AFCA8DB">
      <w:pPr>
        <w:pStyle w:val="21"/>
        <w:bidi w:val="0"/>
        <w:rPr>
          <w:rFonts w:hint="default" w:ascii="Times New Roman" w:hAnsi="Times New Roman" w:cs="Times New Roman"/>
          <w:color w:val="auto"/>
        </w:rPr>
      </w:pPr>
      <w:r>
        <w:rPr>
          <w:rFonts w:hint="default" w:ascii="Times New Roman" w:hAnsi="Times New Roman" w:cs="Times New Roman"/>
          <w:color w:val="auto"/>
        </w:rPr>
        <w:t>表4</w:t>
      </w:r>
      <w:r>
        <w:rPr>
          <w:rFonts w:hint="default" w:ascii="Times New Roman" w:hAnsi="Times New Roman"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固体废物产生及处置情况一览表</w:t>
      </w:r>
    </w:p>
    <w:tbl>
      <w:tblPr>
        <w:tblStyle w:val="20"/>
        <w:tblW w:w="907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11"/>
        <w:gridCol w:w="1812"/>
        <w:gridCol w:w="1814"/>
        <w:gridCol w:w="1816"/>
        <w:gridCol w:w="1818"/>
      </w:tblGrid>
      <w:tr w14:paraId="0FA38A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811" w:type="dxa"/>
            <w:tcBorders>
              <w:top w:val="single" w:color="000000" w:sz="10" w:space="0"/>
              <w:left w:val="nil"/>
            </w:tcBorders>
            <w:vAlign w:val="center"/>
          </w:tcPr>
          <w:p w14:paraId="57B366C8">
            <w:pPr>
              <w:pStyle w:val="23"/>
              <w:bidi w:val="0"/>
              <w:rPr>
                <w:rFonts w:hint="default" w:ascii="Times New Roman" w:hAnsi="Times New Roman" w:cs="Times New Roman"/>
                <w:color w:val="auto"/>
              </w:rPr>
            </w:pPr>
            <w:r>
              <w:rPr>
                <w:rFonts w:hint="default" w:ascii="Times New Roman" w:hAnsi="Times New Roman" w:cs="Times New Roman"/>
                <w:color w:val="auto"/>
              </w:rPr>
              <w:t>序号</w:t>
            </w:r>
          </w:p>
        </w:tc>
        <w:tc>
          <w:tcPr>
            <w:tcW w:w="1812" w:type="dxa"/>
            <w:tcBorders>
              <w:top w:val="single" w:color="000000" w:sz="10" w:space="0"/>
            </w:tcBorders>
            <w:vAlign w:val="center"/>
          </w:tcPr>
          <w:p w14:paraId="16B7B29A">
            <w:pPr>
              <w:pStyle w:val="23"/>
              <w:bidi w:val="0"/>
              <w:rPr>
                <w:rFonts w:hint="default" w:ascii="Times New Roman" w:hAnsi="Times New Roman" w:cs="Times New Roman"/>
                <w:color w:val="auto"/>
              </w:rPr>
            </w:pPr>
            <w:r>
              <w:rPr>
                <w:rFonts w:hint="default" w:ascii="Times New Roman" w:hAnsi="Times New Roman" w:cs="Times New Roman"/>
                <w:color w:val="auto"/>
              </w:rPr>
              <w:t>污染物</w:t>
            </w:r>
          </w:p>
        </w:tc>
        <w:tc>
          <w:tcPr>
            <w:tcW w:w="1814" w:type="dxa"/>
            <w:tcBorders>
              <w:top w:val="single" w:color="000000" w:sz="10" w:space="0"/>
            </w:tcBorders>
            <w:vAlign w:val="center"/>
          </w:tcPr>
          <w:p w14:paraId="6FB3A96E">
            <w:pPr>
              <w:pStyle w:val="23"/>
              <w:bidi w:val="0"/>
              <w:rPr>
                <w:rFonts w:hint="default" w:ascii="Times New Roman" w:hAnsi="Times New Roman" w:cs="Times New Roman"/>
                <w:color w:val="auto"/>
              </w:rPr>
            </w:pPr>
            <w:r>
              <w:rPr>
                <w:rFonts w:hint="default" w:ascii="Times New Roman" w:hAnsi="Times New Roman" w:cs="Times New Roman"/>
                <w:color w:val="auto"/>
              </w:rPr>
              <w:t>环评产生量</w:t>
            </w:r>
          </w:p>
        </w:tc>
        <w:tc>
          <w:tcPr>
            <w:tcW w:w="1816" w:type="dxa"/>
            <w:tcBorders>
              <w:top w:val="single" w:color="000000" w:sz="10" w:space="0"/>
            </w:tcBorders>
            <w:vAlign w:val="center"/>
          </w:tcPr>
          <w:p w14:paraId="060F3DB9">
            <w:pPr>
              <w:pStyle w:val="23"/>
              <w:bidi w:val="0"/>
              <w:rPr>
                <w:rFonts w:hint="default" w:ascii="Times New Roman" w:hAnsi="Times New Roman" w:cs="Times New Roman"/>
                <w:color w:val="auto"/>
              </w:rPr>
            </w:pPr>
            <w:r>
              <w:rPr>
                <w:rFonts w:hint="default" w:ascii="Times New Roman" w:hAnsi="Times New Roman" w:cs="Times New Roman"/>
                <w:color w:val="auto"/>
              </w:rPr>
              <w:t>实际</w:t>
            </w:r>
            <w:r>
              <w:rPr>
                <w:rFonts w:hint="eastAsia" w:cs="Times New Roman"/>
                <w:color w:val="auto"/>
                <w:lang w:val="en-US" w:eastAsia="zh-CN"/>
              </w:rPr>
              <w:t>处置</w:t>
            </w:r>
            <w:r>
              <w:rPr>
                <w:rFonts w:hint="default" w:ascii="Times New Roman" w:hAnsi="Times New Roman" w:cs="Times New Roman"/>
                <w:color w:val="auto"/>
              </w:rPr>
              <w:t>量</w:t>
            </w:r>
          </w:p>
        </w:tc>
        <w:tc>
          <w:tcPr>
            <w:tcW w:w="1818" w:type="dxa"/>
            <w:tcBorders>
              <w:top w:val="single" w:color="000000" w:sz="10" w:space="0"/>
              <w:right w:val="nil"/>
            </w:tcBorders>
            <w:vAlign w:val="center"/>
          </w:tcPr>
          <w:p w14:paraId="64BC4D80">
            <w:pPr>
              <w:pStyle w:val="23"/>
              <w:bidi w:val="0"/>
              <w:rPr>
                <w:rFonts w:hint="default" w:ascii="Times New Roman" w:hAnsi="Times New Roman" w:cs="Times New Roman"/>
                <w:color w:val="auto"/>
              </w:rPr>
            </w:pPr>
            <w:r>
              <w:rPr>
                <w:rFonts w:hint="default" w:ascii="Times New Roman" w:hAnsi="Times New Roman" w:cs="Times New Roman"/>
                <w:color w:val="auto"/>
              </w:rPr>
              <w:t>处置方式</w:t>
            </w:r>
          </w:p>
        </w:tc>
      </w:tr>
      <w:tr w14:paraId="1CE5D4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811" w:type="dxa"/>
            <w:tcBorders>
              <w:left w:val="nil"/>
            </w:tcBorders>
            <w:vAlign w:val="center"/>
          </w:tcPr>
          <w:p w14:paraId="0C6E91A3">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812" w:type="dxa"/>
            <w:vAlign w:val="center"/>
          </w:tcPr>
          <w:p w14:paraId="0B46BA72">
            <w:pPr>
              <w:pStyle w:val="23"/>
              <w:bidi w:val="0"/>
              <w:rPr>
                <w:rFonts w:hint="default" w:ascii="Times New Roman" w:hAnsi="Times New Roman" w:cs="Times New Roman"/>
                <w:color w:val="auto"/>
              </w:rPr>
            </w:pPr>
            <w:r>
              <w:rPr>
                <w:rFonts w:hint="default" w:ascii="Times New Roman" w:hAnsi="Times New Roman" w:cs="Times New Roman"/>
                <w:color w:val="auto"/>
              </w:rPr>
              <w:t>生活垃圾</w:t>
            </w:r>
          </w:p>
        </w:tc>
        <w:tc>
          <w:tcPr>
            <w:tcW w:w="1814" w:type="dxa"/>
            <w:vAlign w:val="center"/>
          </w:tcPr>
          <w:p w14:paraId="0CB4A116">
            <w:pPr>
              <w:pStyle w:val="23"/>
              <w:bidi w:val="0"/>
              <w:rPr>
                <w:rFonts w:hint="default" w:ascii="Times New Roman" w:hAnsi="Times New Roman" w:cs="Times New Roman"/>
                <w:color w:val="auto"/>
              </w:rPr>
            </w:pPr>
            <w:r>
              <w:rPr>
                <w:rFonts w:hint="eastAsia" w:cs="Times New Roman"/>
                <w:color w:val="auto"/>
                <w:lang w:val="en-US" w:eastAsia="zh-CN"/>
              </w:rPr>
              <w:t>4.95</w:t>
            </w:r>
            <w:r>
              <w:rPr>
                <w:rFonts w:hint="default" w:ascii="Times New Roman" w:hAnsi="Times New Roman" w:cs="Times New Roman"/>
                <w:color w:val="auto"/>
              </w:rPr>
              <w:t>t/a</w:t>
            </w:r>
          </w:p>
        </w:tc>
        <w:tc>
          <w:tcPr>
            <w:tcW w:w="1816" w:type="dxa"/>
            <w:vAlign w:val="center"/>
          </w:tcPr>
          <w:p w14:paraId="29135C5F">
            <w:pPr>
              <w:pStyle w:val="23"/>
              <w:bidi w:val="0"/>
              <w:rPr>
                <w:rFonts w:hint="default" w:ascii="Times New Roman" w:hAnsi="Times New Roman" w:cs="Times New Roman"/>
                <w:color w:val="auto"/>
                <w:lang w:val="en-US" w:eastAsia="zh-CN"/>
              </w:rPr>
            </w:pPr>
            <w:r>
              <w:rPr>
                <w:rFonts w:hint="eastAsia" w:cs="Times New Roman"/>
                <w:color w:val="auto"/>
                <w:lang w:val="en-US" w:eastAsia="zh-CN"/>
              </w:rPr>
              <w:t>0</w:t>
            </w:r>
          </w:p>
        </w:tc>
        <w:tc>
          <w:tcPr>
            <w:tcW w:w="1818" w:type="dxa"/>
            <w:tcBorders>
              <w:right w:val="nil"/>
            </w:tcBorders>
            <w:vAlign w:val="center"/>
          </w:tcPr>
          <w:p w14:paraId="2D2DC6A5">
            <w:pPr>
              <w:pStyle w:val="23"/>
              <w:bidi w:val="0"/>
              <w:jc w:val="left"/>
              <w:rPr>
                <w:rFonts w:hint="eastAsia" w:ascii="Times New Roman" w:hAnsi="Times New Roman" w:eastAsia="宋体" w:cs="Times New Roman"/>
                <w:color w:val="auto"/>
                <w:lang w:eastAsia="zh-CN"/>
              </w:rPr>
            </w:pPr>
            <w:r>
              <w:rPr>
                <w:rFonts w:hint="default" w:ascii="Times New Roman" w:hAnsi="Times New Roman" w:cs="Times New Roman"/>
                <w:color w:val="auto"/>
                <w:kern w:val="1"/>
                <w:u w:val="none"/>
                <w:lang w:val="en-US" w:eastAsia="zh-CN"/>
              </w:rPr>
              <w:t>本次扩建未新增员工，故未新增生活垃圾</w:t>
            </w:r>
            <w:r>
              <w:rPr>
                <w:rFonts w:hint="eastAsia" w:ascii="Times New Roman" w:hAnsi="Times New Roman" w:cs="Times New Roman"/>
                <w:color w:val="auto"/>
                <w:kern w:val="1"/>
                <w:u w:val="none"/>
                <w:lang w:val="en-US" w:eastAsia="zh-CN"/>
              </w:rPr>
              <w:t>。</w:t>
            </w:r>
          </w:p>
        </w:tc>
      </w:tr>
      <w:tr w14:paraId="4E6BC1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811" w:type="dxa"/>
            <w:tcBorders>
              <w:left w:val="nil"/>
            </w:tcBorders>
            <w:vAlign w:val="center"/>
          </w:tcPr>
          <w:p w14:paraId="7A6A08DC">
            <w:pPr>
              <w:pStyle w:val="23"/>
              <w:bidi w:val="0"/>
              <w:rPr>
                <w:rFonts w:hint="default" w:ascii="Times New Roman" w:hAnsi="Times New Roman" w:cs="Times New Roman"/>
                <w:color w:val="auto"/>
              </w:rPr>
            </w:pPr>
            <w:r>
              <w:rPr>
                <w:rFonts w:hint="default" w:ascii="Times New Roman" w:hAnsi="Times New Roman" w:cs="Times New Roman"/>
                <w:color w:val="auto"/>
              </w:rPr>
              <w:t>2</w:t>
            </w:r>
          </w:p>
        </w:tc>
        <w:tc>
          <w:tcPr>
            <w:tcW w:w="1812" w:type="dxa"/>
            <w:vAlign w:val="center"/>
          </w:tcPr>
          <w:p w14:paraId="59299CFB">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破损滤袋</w:t>
            </w:r>
            <w:r>
              <w:rPr>
                <w:rFonts w:hint="eastAsia" w:cs="Times New Roman"/>
                <w:color w:val="auto"/>
                <w:lang w:eastAsia="zh-CN"/>
              </w:rPr>
              <w:t>、</w:t>
            </w:r>
            <w:r>
              <w:rPr>
                <w:rFonts w:hint="eastAsia" w:cs="Times New Roman"/>
                <w:color w:val="auto"/>
                <w:lang w:val="en-US" w:eastAsia="zh-CN"/>
              </w:rPr>
              <w:t>废抹布、废手套</w:t>
            </w:r>
          </w:p>
        </w:tc>
        <w:tc>
          <w:tcPr>
            <w:tcW w:w="1814" w:type="dxa"/>
            <w:vAlign w:val="center"/>
          </w:tcPr>
          <w:p w14:paraId="1AF1B42F">
            <w:pPr>
              <w:pStyle w:val="23"/>
              <w:bidi w:val="0"/>
              <w:rPr>
                <w:rFonts w:hint="default" w:ascii="Times New Roman" w:hAnsi="Times New Roman" w:cs="Times New Roman"/>
                <w:color w:val="auto"/>
              </w:rPr>
            </w:pPr>
            <w:r>
              <w:rPr>
                <w:rFonts w:hint="eastAsia" w:cs="Times New Roman"/>
                <w:color w:val="auto"/>
                <w:lang w:val="en-US" w:eastAsia="zh-CN"/>
              </w:rPr>
              <w:t>0.01</w:t>
            </w:r>
            <w:r>
              <w:rPr>
                <w:rFonts w:hint="default" w:ascii="Times New Roman" w:hAnsi="Times New Roman" w:cs="Times New Roman"/>
                <w:color w:val="auto"/>
              </w:rPr>
              <w:t>t/a</w:t>
            </w:r>
          </w:p>
        </w:tc>
        <w:tc>
          <w:tcPr>
            <w:tcW w:w="1816" w:type="dxa"/>
            <w:vAlign w:val="center"/>
          </w:tcPr>
          <w:p w14:paraId="35C0BCCD">
            <w:pPr>
              <w:pStyle w:val="23"/>
              <w:bidi w:val="0"/>
              <w:ind w:firstLine="0" w:firstLineChars="0"/>
              <w:rPr>
                <w:rFonts w:hint="default" w:ascii="Times New Roman" w:hAnsi="Times New Roman" w:cs="Times New Roman"/>
                <w:color w:val="auto"/>
                <w:lang w:eastAsia="zh-CN"/>
              </w:rPr>
            </w:pPr>
            <w:r>
              <w:rPr>
                <w:rFonts w:hint="eastAsia" w:cs="Times New Roman"/>
                <w:color w:val="auto"/>
                <w:lang w:val="en-US" w:eastAsia="zh-CN"/>
              </w:rPr>
              <w:t>1.6</w:t>
            </w:r>
            <w:r>
              <w:rPr>
                <w:rFonts w:hint="default" w:ascii="Times New Roman" w:hAnsi="Times New Roman" w:cs="Times New Roman"/>
                <w:color w:val="auto"/>
              </w:rPr>
              <w:t>t/a</w:t>
            </w:r>
          </w:p>
        </w:tc>
        <w:tc>
          <w:tcPr>
            <w:tcW w:w="1818" w:type="dxa"/>
            <w:vMerge w:val="restart"/>
            <w:tcBorders>
              <w:right w:val="nil"/>
            </w:tcBorders>
            <w:vAlign w:val="center"/>
          </w:tcPr>
          <w:p w14:paraId="5D8B5186">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rPr>
              <w:t>委托</w:t>
            </w:r>
            <w:r>
              <w:rPr>
                <w:rFonts w:hint="default" w:ascii="Times New Roman" w:hAnsi="Times New Roman" w:cs="Times New Roman"/>
                <w:color w:val="auto"/>
                <w:kern w:val="1"/>
                <w:u w:val="none"/>
                <w:lang w:val="en-US" w:eastAsia="zh-CN"/>
              </w:rPr>
              <w:t>福建深投海峡环保科技有限公司</w:t>
            </w:r>
            <w:r>
              <w:rPr>
                <w:rFonts w:hint="default" w:ascii="Times New Roman" w:hAnsi="Times New Roman" w:cs="Times New Roman"/>
                <w:color w:val="auto"/>
              </w:rPr>
              <w:t>统一回收处置</w:t>
            </w:r>
            <w:r>
              <w:rPr>
                <w:rFonts w:hint="default" w:ascii="Times New Roman" w:hAnsi="Times New Roman" w:cs="Times New Roman"/>
                <w:color w:val="auto"/>
                <w:lang w:val="en-US" w:eastAsia="zh-CN"/>
              </w:rPr>
              <w:t>。</w:t>
            </w:r>
          </w:p>
        </w:tc>
      </w:tr>
      <w:tr w14:paraId="08F294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811" w:type="dxa"/>
            <w:tcBorders>
              <w:left w:val="nil"/>
            </w:tcBorders>
            <w:vAlign w:val="center"/>
          </w:tcPr>
          <w:p w14:paraId="4F457777">
            <w:pPr>
              <w:pStyle w:val="23"/>
              <w:bidi w:val="0"/>
              <w:rPr>
                <w:rFonts w:hint="default" w:ascii="Times New Roman" w:hAnsi="Times New Roman" w:cs="Times New Roman"/>
                <w:color w:val="auto"/>
              </w:rPr>
            </w:pPr>
            <w:r>
              <w:rPr>
                <w:rFonts w:hint="default" w:ascii="Times New Roman" w:hAnsi="Times New Roman" w:cs="Times New Roman"/>
                <w:color w:val="auto"/>
              </w:rPr>
              <w:t>3</w:t>
            </w:r>
          </w:p>
        </w:tc>
        <w:tc>
          <w:tcPr>
            <w:tcW w:w="1812" w:type="dxa"/>
            <w:vAlign w:val="center"/>
          </w:tcPr>
          <w:p w14:paraId="7F6A8A8A">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废油桶</w:t>
            </w:r>
          </w:p>
        </w:tc>
        <w:tc>
          <w:tcPr>
            <w:tcW w:w="1814" w:type="dxa"/>
            <w:vAlign w:val="center"/>
          </w:tcPr>
          <w:p w14:paraId="0BDCC054">
            <w:pPr>
              <w:pStyle w:val="23"/>
              <w:bidi w:val="0"/>
              <w:rPr>
                <w:rFonts w:hint="default" w:ascii="Times New Roman" w:hAnsi="Times New Roman" w:cs="Times New Roman"/>
                <w:color w:val="auto"/>
              </w:rPr>
            </w:pPr>
            <w:r>
              <w:rPr>
                <w:rFonts w:hint="eastAsia" w:cs="Times New Roman"/>
                <w:color w:val="auto"/>
                <w:lang w:val="en-US" w:eastAsia="zh-CN"/>
              </w:rPr>
              <w:t>0.01</w:t>
            </w:r>
            <w:r>
              <w:rPr>
                <w:rFonts w:hint="default" w:ascii="Times New Roman" w:hAnsi="Times New Roman" w:cs="Times New Roman"/>
                <w:color w:val="auto"/>
                <w:lang w:val="en-US" w:eastAsia="zh-CN"/>
              </w:rPr>
              <w:t>t/a</w:t>
            </w:r>
          </w:p>
        </w:tc>
        <w:tc>
          <w:tcPr>
            <w:tcW w:w="1816" w:type="dxa"/>
            <w:vAlign w:val="center"/>
          </w:tcPr>
          <w:p w14:paraId="2E97C58F">
            <w:pPr>
              <w:pStyle w:val="23"/>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0.</w:t>
            </w:r>
            <w:r>
              <w:rPr>
                <w:rFonts w:hint="eastAsia" w:cs="Times New Roman"/>
                <w:color w:val="auto"/>
                <w:lang w:val="en-US" w:eastAsia="zh-CN"/>
              </w:rPr>
              <w:t>2</w:t>
            </w:r>
            <w:r>
              <w:rPr>
                <w:rFonts w:hint="default" w:ascii="Times New Roman" w:hAnsi="Times New Roman" w:cs="Times New Roman"/>
                <w:color w:val="auto"/>
                <w:lang w:val="en-US" w:eastAsia="zh-CN"/>
              </w:rPr>
              <w:t>t/a</w:t>
            </w:r>
          </w:p>
        </w:tc>
        <w:tc>
          <w:tcPr>
            <w:tcW w:w="1818" w:type="dxa"/>
            <w:vMerge w:val="continue"/>
            <w:tcBorders>
              <w:bottom w:val="single" w:color="auto" w:sz="4" w:space="0"/>
              <w:right w:val="nil"/>
            </w:tcBorders>
            <w:vAlign w:val="center"/>
          </w:tcPr>
          <w:p w14:paraId="7D593187">
            <w:pPr>
              <w:pStyle w:val="23"/>
              <w:bidi w:val="0"/>
              <w:rPr>
                <w:rFonts w:hint="default" w:ascii="Times New Roman" w:hAnsi="Times New Roman" w:cs="Times New Roman"/>
                <w:color w:val="auto"/>
                <w:lang w:val="en-US" w:eastAsia="zh-CN"/>
              </w:rPr>
            </w:pPr>
          </w:p>
        </w:tc>
      </w:tr>
    </w:tbl>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2"/>
        <w:gridCol w:w="4503"/>
      </w:tblGrid>
      <w:tr w14:paraId="7B58F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2" w:type="dxa"/>
          </w:tcPr>
          <w:p w14:paraId="00CE2616">
            <w:pPr>
              <w:pStyle w:val="24"/>
              <w:widowControl w:val="0"/>
              <w:bidi w:val="0"/>
              <w:rPr>
                <w:rFonts w:hint="default" w:ascii="Times New Roman" w:hAnsi="Times New Roman" w:cs="Times New Roman"/>
                <w:color w:val="auto"/>
              </w:rPr>
            </w:pPr>
          </w:p>
        </w:tc>
        <w:tc>
          <w:tcPr>
            <w:tcW w:w="4503" w:type="dxa"/>
          </w:tcPr>
          <w:p w14:paraId="1263FBAC">
            <w:pPr>
              <w:pStyle w:val="24"/>
              <w:widowControl w:val="0"/>
              <w:bidi w:val="0"/>
              <w:jc w:val="both"/>
              <w:rPr>
                <w:rStyle w:val="27"/>
                <w:rFonts w:hint="default" w:ascii="Times New Roman" w:hAnsi="Times New Roman" w:cs="Times New Roman"/>
                <w:color w:val="auto"/>
                <w:vertAlign w:val="baseline"/>
              </w:rPr>
            </w:pPr>
          </w:p>
        </w:tc>
      </w:tr>
      <w:tr w14:paraId="6D703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2" w:type="dxa"/>
          </w:tcPr>
          <w:p w14:paraId="009A5603">
            <w:pPr>
              <w:pStyle w:val="25"/>
              <w:widowControl w:val="0"/>
              <w:bidi w:val="0"/>
              <w:rPr>
                <w:rFonts w:hint="default" w:ascii="Times New Roman" w:hAnsi="Times New Roman" w:cs="Times New Roman"/>
                <w:color w:val="auto"/>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default" w:ascii="Times New Roman" w:hAnsi="Times New Roman" w:cs="Times New Roman"/>
                <w:color w:val="auto"/>
              </w:rPr>
              <w:t>1</w:t>
            </w:r>
            <w:r>
              <w:rPr>
                <w:rFonts w:hint="eastAsia" w:cs="Times New Roman"/>
                <w:color w:val="auto"/>
                <w:lang w:val="en-US" w:eastAsia="zh-CN"/>
              </w:rPr>
              <w:t>2</w:t>
            </w:r>
            <w:r>
              <w:rPr>
                <w:rFonts w:hint="default" w:ascii="Times New Roman" w:hAnsi="Times New Roman" w:cs="Times New Roman"/>
                <w:color w:val="auto"/>
              </w:rPr>
              <w:t>生活垃圾存放点</w:t>
            </w:r>
          </w:p>
        </w:tc>
        <w:tc>
          <w:tcPr>
            <w:tcW w:w="4503" w:type="dxa"/>
          </w:tcPr>
          <w:p w14:paraId="6B7E4F3C">
            <w:pPr>
              <w:pStyle w:val="25"/>
              <w:widowControl w:val="0"/>
              <w:bidi w:val="0"/>
              <w:rPr>
                <w:rFonts w:hint="default" w:ascii="Times New Roman" w:hAnsi="Times New Roman" w:cs="Times New Roman"/>
                <w:color w:val="auto"/>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default" w:ascii="Times New Roman" w:hAnsi="Times New Roman" w:cs="Times New Roman"/>
                <w:color w:val="auto"/>
              </w:rPr>
              <w:t>1</w:t>
            </w:r>
            <w:r>
              <w:rPr>
                <w:rFonts w:hint="eastAsia" w:cs="Times New Roman"/>
                <w:color w:val="auto"/>
                <w:lang w:val="en-US" w:eastAsia="zh-CN"/>
              </w:rPr>
              <w:t>3</w:t>
            </w:r>
            <w:r>
              <w:rPr>
                <w:rFonts w:hint="default" w:ascii="Times New Roman" w:hAnsi="Times New Roman" w:cs="Times New Roman"/>
                <w:color w:val="auto"/>
              </w:rPr>
              <w:t>危废暂存间（外部）</w:t>
            </w:r>
          </w:p>
        </w:tc>
      </w:tr>
      <w:tr w14:paraId="6D807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3" w:hRule="atLeast"/>
        </w:trPr>
        <w:tc>
          <w:tcPr>
            <w:tcW w:w="4502" w:type="dxa"/>
          </w:tcPr>
          <w:p w14:paraId="5EC337F8">
            <w:pPr>
              <w:pStyle w:val="25"/>
              <w:widowControl w:val="0"/>
              <w:bidi w:val="0"/>
              <w:rPr>
                <w:rFonts w:hint="default" w:ascii="Times New Roman" w:hAnsi="Times New Roman" w:cs="Times New Roman"/>
                <w:color w:val="auto"/>
              </w:rPr>
            </w:pPr>
          </w:p>
        </w:tc>
        <w:tc>
          <w:tcPr>
            <w:tcW w:w="4503" w:type="dxa"/>
          </w:tcPr>
          <w:p w14:paraId="1BEA571D">
            <w:pPr>
              <w:pStyle w:val="25"/>
              <w:widowControl w:val="0"/>
              <w:bidi w:val="0"/>
              <w:rPr>
                <w:rFonts w:hint="default" w:ascii="Times New Roman" w:hAnsi="Times New Roman" w:eastAsia="宋体" w:cs="Times New Roman"/>
                <w:color w:val="auto"/>
                <w:lang w:eastAsia="zh-CN"/>
              </w:rPr>
            </w:pPr>
          </w:p>
        </w:tc>
      </w:tr>
      <w:tr w14:paraId="5CF74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2" w:type="dxa"/>
          </w:tcPr>
          <w:p w14:paraId="1D8CC6C0">
            <w:pPr>
              <w:pStyle w:val="25"/>
              <w:widowControl w:val="0"/>
              <w:bidi w:val="0"/>
              <w:rPr>
                <w:rFonts w:hint="default" w:ascii="Times New Roman" w:hAnsi="Times New Roman" w:cs="Times New Roman"/>
                <w:color w:val="auto"/>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default" w:ascii="Times New Roman" w:hAnsi="Times New Roman" w:cs="Times New Roman"/>
                <w:color w:val="auto"/>
              </w:rPr>
              <w:t>1</w:t>
            </w:r>
            <w:r>
              <w:rPr>
                <w:rFonts w:hint="eastAsia" w:cs="Times New Roman"/>
                <w:color w:val="auto"/>
                <w:lang w:val="en-US" w:eastAsia="zh-CN"/>
              </w:rPr>
              <w:t>4</w:t>
            </w:r>
            <w:r>
              <w:rPr>
                <w:rFonts w:hint="default" w:ascii="Times New Roman" w:hAnsi="Times New Roman" w:cs="Times New Roman"/>
                <w:color w:val="auto"/>
              </w:rPr>
              <w:t>危废暂存间</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内部</w:t>
            </w:r>
            <w:r>
              <w:rPr>
                <w:rFonts w:hint="default" w:ascii="Times New Roman" w:hAnsi="Times New Roman" w:cs="Times New Roman"/>
                <w:color w:val="auto"/>
                <w:lang w:eastAsia="zh-CN"/>
              </w:rPr>
              <w:t>）</w:t>
            </w:r>
          </w:p>
        </w:tc>
        <w:tc>
          <w:tcPr>
            <w:tcW w:w="4503" w:type="dxa"/>
          </w:tcPr>
          <w:p w14:paraId="78A9210D">
            <w:pPr>
              <w:pStyle w:val="25"/>
              <w:widowControl w:val="0"/>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图4.</w:t>
            </w:r>
            <w:r>
              <w:rPr>
                <w:rFonts w:hint="default" w:ascii="Times New Roman" w:hAnsi="Times New Roman" w:cs="Times New Roman"/>
                <w:color w:val="auto"/>
                <w:lang w:val="en-US" w:eastAsia="zh-CN"/>
              </w:rPr>
              <w:t>1-</w:t>
            </w:r>
            <w:r>
              <w:rPr>
                <w:rFonts w:hint="default" w:ascii="Times New Roman" w:hAnsi="Times New Roman" w:cs="Times New Roman"/>
                <w:color w:val="auto"/>
              </w:rPr>
              <w:t>1</w:t>
            </w:r>
            <w:r>
              <w:rPr>
                <w:rFonts w:hint="eastAsia" w:cs="Times New Roman"/>
                <w:color w:val="auto"/>
                <w:lang w:val="en-US" w:eastAsia="zh-CN"/>
              </w:rPr>
              <w:t>5</w:t>
            </w:r>
            <w:r>
              <w:rPr>
                <w:rFonts w:hint="eastAsia" w:ascii="Times New Roman" w:hAnsi="Times New Roman" w:cs="Times New Roman"/>
                <w:color w:val="auto"/>
                <w:lang w:val="en-US" w:eastAsia="zh-CN"/>
              </w:rPr>
              <w:t>飞灰养护区</w:t>
            </w:r>
          </w:p>
        </w:tc>
      </w:tr>
    </w:tbl>
    <w:p w14:paraId="54C8AE31">
      <w:pPr>
        <w:pStyle w:val="3"/>
        <w:bidi w:val="0"/>
        <w:rPr>
          <w:rFonts w:hint="default" w:ascii="Times New Roman" w:hAnsi="Times New Roman" w:cs="Times New Roman"/>
          <w:color w:val="auto"/>
        </w:rPr>
      </w:pPr>
      <w:bookmarkStart w:id="34" w:name="_Toc32265"/>
      <w:r>
        <w:rPr>
          <w:rFonts w:hint="default" w:ascii="Times New Roman" w:hAnsi="Times New Roman" w:cs="Times New Roman"/>
          <w:color w:val="auto"/>
        </w:rPr>
        <w:t>4.2其他环境保护措施</w:t>
      </w:r>
      <w:bookmarkEnd w:id="34"/>
    </w:p>
    <w:p w14:paraId="0FD0B50F">
      <w:pPr>
        <w:pStyle w:val="4"/>
        <w:bidi w:val="0"/>
        <w:rPr>
          <w:rFonts w:hint="default" w:ascii="Times New Roman" w:hAnsi="Times New Roman" w:cs="Times New Roman"/>
          <w:color w:val="auto"/>
        </w:rPr>
      </w:pPr>
      <w:bookmarkStart w:id="35" w:name="_Toc6050"/>
      <w:r>
        <w:rPr>
          <w:rFonts w:hint="default" w:ascii="Times New Roman" w:hAnsi="Times New Roman" w:cs="Times New Roman"/>
          <w:color w:val="auto"/>
        </w:rPr>
        <w:t>4.2.1环境风险防范措施</w:t>
      </w:r>
      <w:bookmarkEnd w:id="35"/>
    </w:p>
    <w:p w14:paraId="17A71BBA">
      <w:pPr>
        <w:keepNext w:val="0"/>
        <w:keepLines w:val="0"/>
        <w:widowControl/>
        <w:suppressLineNumbers w:val="0"/>
        <w:jc w:val="left"/>
        <w:rPr>
          <w:rFonts w:hint="default" w:ascii="Times New Roman" w:hAnsi="Times New Roman" w:cs="Times New Roman"/>
          <w:color w:val="auto"/>
        </w:rPr>
      </w:pPr>
      <w:r>
        <w:rPr>
          <w:rFonts w:hint="default" w:ascii="Times New Roman" w:hAnsi="Times New Roman" w:eastAsia="宋体" w:cs="Times New Roman"/>
          <w:snapToGrid w:val="0"/>
          <w:color w:val="auto"/>
          <w:kern w:val="0"/>
          <w:sz w:val="24"/>
          <w:szCs w:val="24"/>
          <w:lang w:val="en-US" w:eastAsia="zh-CN" w:bidi="ar"/>
        </w:rPr>
        <w:t>本项目主要采取的环境风险防范措施如下：</w:t>
      </w:r>
    </w:p>
    <w:p w14:paraId="36D780F9">
      <w:pPr>
        <w:keepNext w:val="0"/>
        <w:keepLines w:val="0"/>
        <w:widowControl/>
        <w:suppressLineNumbers w:val="0"/>
        <w:jc w:val="left"/>
        <w:rPr>
          <w:rFonts w:hint="default" w:ascii="Times New Roman" w:hAnsi="Times New Roman" w:cs="Times New Roman"/>
          <w:color w:val="auto"/>
        </w:rPr>
      </w:pPr>
      <w:r>
        <w:rPr>
          <w:rFonts w:hint="default" w:ascii="Times New Roman" w:hAnsi="Times New Roman" w:eastAsia="宋体" w:cs="Times New Roman"/>
          <w:snapToGrid w:val="0"/>
          <w:color w:val="auto"/>
          <w:kern w:val="0"/>
          <w:sz w:val="24"/>
          <w:szCs w:val="24"/>
          <w:lang w:val="en-US" w:eastAsia="zh-CN" w:bidi="ar"/>
        </w:rPr>
        <w:t>（1）已制定环境风险事故应急预案，</w:t>
      </w:r>
      <w:r>
        <w:rPr>
          <w:rFonts w:hint="default" w:ascii="Times New Roman" w:hAnsi="Times New Roman" w:cs="Times New Roman"/>
          <w:color w:val="auto"/>
        </w:rPr>
        <w:t>福州市</w:t>
      </w:r>
      <w:r>
        <w:rPr>
          <w:rFonts w:hint="default" w:ascii="Times New Roman" w:hAnsi="Times New Roman" w:cs="Times New Roman"/>
          <w:color w:val="auto"/>
          <w:lang w:val="en-US" w:eastAsia="zh-CN"/>
        </w:rPr>
        <w:t>晋安生态环境局</w:t>
      </w:r>
      <w:r>
        <w:rPr>
          <w:rFonts w:hint="default" w:ascii="Times New Roman" w:hAnsi="Times New Roman" w:cs="Times New Roman"/>
          <w:color w:val="auto"/>
        </w:rPr>
        <w:t>备案</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备案编号：350111-2024-003-L</w:t>
      </w:r>
      <w:r>
        <w:rPr>
          <w:rFonts w:hint="default" w:ascii="Times New Roman" w:hAnsi="Times New Roman" w:cs="Times New Roman"/>
          <w:color w:val="auto"/>
          <w:lang w:eastAsia="zh-CN"/>
        </w:rPr>
        <w:t>），</w:t>
      </w:r>
      <w:r>
        <w:rPr>
          <w:rFonts w:hint="default" w:ascii="Times New Roman" w:hAnsi="Times New Roman" w:eastAsia="宋体" w:cs="Times New Roman"/>
          <w:snapToGrid w:val="0"/>
          <w:color w:val="auto"/>
          <w:kern w:val="0"/>
          <w:sz w:val="24"/>
          <w:szCs w:val="24"/>
          <w:lang w:val="en-US" w:eastAsia="zh-CN" w:bidi="ar"/>
        </w:rPr>
        <w:t>配备了应急设施器材。</w:t>
      </w:r>
    </w:p>
    <w:p w14:paraId="323D70A1">
      <w:pPr>
        <w:keepNext w:val="0"/>
        <w:keepLines w:val="0"/>
        <w:widowControl/>
        <w:suppressLineNumbers w:val="0"/>
        <w:jc w:val="left"/>
        <w:rPr>
          <w:rFonts w:hint="eastAsia" w:cs="Times New Roman"/>
          <w:color w:val="auto"/>
          <w:lang w:val="en-US" w:eastAsia="zh-CN"/>
        </w:rPr>
      </w:pPr>
      <w:r>
        <w:rPr>
          <w:rFonts w:hint="default" w:ascii="Times New Roman" w:hAnsi="Times New Roman" w:eastAsia="宋体" w:cs="Times New Roman"/>
          <w:snapToGrid w:val="0"/>
          <w:color w:val="auto"/>
          <w:kern w:val="0"/>
          <w:sz w:val="24"/>
          <w:szCs w:val="24"/>
          <w:lang w:val="en-US" w:eastAsia="zh-CN" w:bidi="ar"/>
        </w:rPr>
        <w:t>（2）</w:t>
      </w:r>
      <w:r>
        <w:rPr>
          <w:rFonts w:hint="default" w:ascii="Times New Roman" w:hAnsi="Times New Roman" w:cs="Times New Roman"/>
          <w:color w:val="auto"/>
          <w:lang w:val="en-US" w:eastAsia="zh-CN"/>
        </w:rPr>
        <w:t>本项目</w:t>
      </w:r>
      <w:r>
        <w:rPr>
          <w:rFonts w:hint="eastAsia" w:ascii="Times New Roman" w:hAnsi="Times New Roman" w:cs="Times New Roman"/>
          <w:color w:val="auto"/>
          <w:lang w:val="en-US" w:eastAsia="zh-CN"/>
        </w:rPr>
        <w:t>螯合剂存放于不锈钢托盘上方，且</w:t>
      </w:r>
      <w:r>
        <w:rPr>
          <w:rFonts w:hint="eastAsia" w:cs="Times New Roman"/>
          <w:color w:val="auto"/>
          <w:lang w:val="en-US" w:eastAsia="zh-CN"/>
        </w:rPr>
        <w:t>新建</w:t>
      </w:r>
      <w:r>
        <w:rPr>
          <w:rFonts w:hint="default" w:ascii="Times New Roman" w:hAnsi="Times New Roman" w:cs="Times New Roman"/>
          <w:color w:val="auto"/>
          <w:lang w:val="en-US" w:eastAsia="zh-CN"/>
        </w:rPr>
        <w:t>一个100m³的事故应急池（地面水箱）</w:t>
      </w:r>
      <w:r>
        <w:rPr>
          <w:rFonts w:hint="eastAsia" w:ascii="Times New Roman" w:hAnsi="Times New Roman" w:cs="Times New Roman"/>
          <w:color w:val="auto"/>
          <w:lang w:val="en-US" w:eastAsia="zh-CN"/>
        </w:rPr>
        <w:t>，</w:t>
      </w:r>
      <w:r>
        <w:rPr>
          <w:rFonts w:hint="eastAsia" w:cs="Times New Roman"/>
          <w:color w:val="auto"/>
          <w:lang w:val="en-US" w:eastAsia="zh-CN"/>
        </w:rPr>
        <w:t>配备应急水泵。</w:t>
      </w:r>
    </w:p>
    <w:p w14:paraId="47A64F66">
      <w:pPr>
        <w:spacing w:line="360" w:lineRule="auto"/>
        <w:ind w:firstLine="480" w:firstLineChars="200"/>
        <w:rPr>
          <w:rFonts w:ascii="Times New Roman" w:hAnsi="Times New Roman"/>
          <w:color w:val="auto"/>
          <w:u w:val="none"/>
        </w:rPr>
      </w:pPr>
      <w:r>
        <w:rPr>
          <w:rFonts w:ascii="Times New Roman" w:hAnsi="Times New Roman"/>
          <w:color w:val="auto"/>
          <w:u w:val="none"/>
        </w:rPr>
        <w:t>根据</w:t>
      </w:r>
      <w:r>
        <w:rPr>
          <w:rFonts w:hint="eastAsia" w:ascii="Times New Roman" w:hAnsi="Times New Roman"/>
          <w:color w:val="auto"/>
          <w:u w:val="none"/>
        </w:rPr>
        <w:t>《建设项目环境风险评价技术导则》（HJ169-2018）及《石化企业水体环境风险防控技术要求》（Q/SH0729-201</w:t>
      </w:r>
      <w:r>
        <w:rPr>
          <w:rFonts w:hint="eastAsia" w:ascii="Times New Roman" w:hAnsi="Times New Roman"/>
          <w:color w:val="auto"/>
          <w:u w:val="none"/>
          <w:lang w:val="en-US" w:eastAsia="zh-CN"/>
        </w:rPr>
        <w:t>8</w:t>
      </w:r>
      <w:r>
        <w:rPr>
          <w:rFonts w:hint="eastAsia" w:ascii="Times New Roman" w:hAnsi="Times New Roman"/>
          <w:color w:val="auto"/>
          <w:u w:val="none"/>
        </w:rPr>
        <w:t>），对</w:t>
      </w:r>
      <w:r>
        <w:rPr>
          <w:rFonts w:ascii="Times New Roman" w:hAnsi="Times New Roman"/>
          <w:color w:val="auto"/>
          <w:u w:val="none"/>
        </w:rPr>
        <w:t>事故收集池有效容积进行</w:t>
      </w:r>
      <w:r>
        <w:rPr>
          <w:rFonts w:hint="eastAsia" w:ascii="Times New Roman" w:hAnsi="Times New Roman"/>
          <w:color w:val="auto"/>
          <w:u w:val="none"/>
        </w:rPr>
        <w:t>计算及</w:t>
      </w:r>
      <w:r>
        <w:rPr>
          <w:rFonts w:ascii="Times New Roman" w:hAnsi="Times New Roman"/>
          <w:color w:val="auto"/>
          <w:u w:val="none"/>
        </w:rPr>
        <w:t>符合性分析。事故储存设施总有效容积：</w:t>
      </w:r>
    </w:p>
    <w:p w14:paraId="091BB82A">
      <w:pPr>
        <w:spacing w:line="360" w:lineRule="auto"/>
        <w:jc w:val="center"/>
        <w:rPr>
          <w:rFonts w:ascii="Times New Roman" w:hAnsi="Times New Roman"/>
          <w:color w:val="auto"/>
          <w:u w:val="none"/>
        </w:rPr>
      </w:pPr>
      <w:r>
        <w:rPr>
          <w:rFonts w:ascii="Times New Roman" w:hAnsi="Times New Roman"/>
          <w:i/>
          <w:color w:val="auto"/>
          <w:u w:val="none"/>
        </w:rPr>
        <w:t>V</w:t>
      </w:r>
      <w:r>
        <w:rPr>
          <w:rFonts w:ascii="Times New Roman" w:hAnsi="Times New Roman"/>
          <w:i/>
          <w:color w:val="auto"/>
          <w:u w:val="none"/>
          <w:vertAlign w:val="subscript"/>
        </w:rPr>
        <w:t>总</w:t>
      </w:r>
      <w:r>
        <w:rPr>
          <w:rFonts w:ascii="Times New Roman" w:hAnsi="Times New Roman"/>
          <w:color w:val="auto"/>
          <w:u w:val="none"/>
        </w:rPr>
        <w:t>=（</w:t>
      </w:r>
      <w:r>
        <w:rPr>
          <w:rFonts w:ascii="Times New Roman" w:hAnsi="Times New Roman"/>
          <w:i/>
          <w:color w:val="auto"/>
          <w:u w:val="none"/>
        </w:rPr>
        <w:t>V</w:t>
      </w:r>
      <w:r>
        <w:rPr>
          <w:rFonts w:ascii="Times New Roman" w:hAnsi="Times New Roman"/>
          <w:i/>
          <w:color w:val="auto"/>
          <w:u w:val="none"/>
          <w:vertAlign w:val="subscript"/>
        </w:rPr>
        <w:t>1</w:t>
      </w:r>
      <w:r>
        <w:rPr>
          <w:rFonts w:ascii="Times New Roman" w:hAnsi="Times New Roman"/>
          <w:i/>
          <w:color w:val="auto"/>
          <w:u w:val="none"/>
        </w:rPr>
        <w:t>+V</w:t>
      </w:r>
      <w:r>
        <w:rPr>
          <w:rFonts w:ascii="Times New Roman" w:hAnsi="Times New Roman"/>
          <w:i/>
          <w:color w:val="auto"/>
          <w:u w:val="none"/>
          <w:vertAlign w:val="subscript"/>
        </w:rPr>
        <w:t>2</w:t>
      </w:r>
      <w:r>
        <w:rPr>
          <w:rFonts w:ascii="Times New Roman" w:hAnsi="Times New Roman"/>
          <w:i/>
          <w:color w:val="auto"/>
          <w:u w:val="none"/>
        </w:rPr>
        <w:t>-V</w:t>
      </w:r>
      <w:r>
        <w:rPr>
          <w:rFonts w:ascii="Times New Roman" w:hAnsi="Times New Roman"/>
          <w:i/>
          <w:color w:val="auto"/>
          <w:u w:val="none"/>
          <w:vertAlign w:val="subscript"/>
        </w:rPr>
        <w:t>3</w:t>
      </w:r>
      <w:r>
        <w:rPr>
          <w:rFonts w:ascii="Times New Roman" w:hAnsi="Times New Roman"/>
          <w:color w:val="auto"/>
          <w:u w:val="none"/>
        </w:rPr>
        <w:t>）</w:t>
      </w:r>
      <w:r>
        <w:rPr>
          <w:rFonts w:ascii="Times New Roman" w:hAnsi="Times New Roman"/>
          <w:i/>
          <w:color w:val="auto"/>
          <w:u w:val="none"/>
          <w:vertAlign w:val="subscript"/>
        </w:rPr>
        <w:t>max</w:t>
      </w:r>
      <w:r>
        <w:rPr>
          <w:rFonts w:ascii="Times New Roman" w:hAnsi="Times New Roman"/>
          <w:i/>
          <w:color w:val="auto"/>
          <w:u w:val="none"/>
        </w:rPr>
        <w:t>+V</w:t>
      </w:r>
      <w:r>
        <w:rPr>
          <w:rFonts w:ascii="Times New Roman" w:hAnsi="Times New Roman"/>
          <w:i/>
          <w:color w:val="auto"/>
          <w:u w:val="none"/>
          <w:vertAlign w:val="subscript"/>
        </w:rPr>
        <w:t>4</w:t>
      </w:r>
      <w:r>
        <w:rPr>
          <w:rFonts w:ascii="Times New Roman" w:hAnsi="Times New Roman"/>
          <w:i/>
          <w:color w:val="auto"/>
          <w:u w:val="none"/>
        </w:rPr>
        <w:t>+V</w:t>
      </w:r>
      <w:r>
        <w:rPr>
          <w:rFonts w:ascii="Times New Roman" w:hAnsi="Times New Roman"/>
          <w:i/>
          <w:color w:val="auto"/>
          <w:u w:val="none"/>
          <w:vertAlign w:val="subscript"/>
        </w:rPr>
        <w:t>5</w:t>
      </w:r>
    </w:p>
    <w:p w14:paraId="51BA6442">
      <w:pPr>
        <w:spacing w:line="360" w:lineRule="auto"/>
        <w:ind w:firstLine="480" w:firstLineChars="200"/>
        <w:rPr>
          <w:rFonts w:ascii="Times New Roman" w:hAnsi="Times New Roman"/>
          <w:color w:val="auto"/>
          <w:u w:val="none"/>
        </w:rPr>
      </w:pPr>
      <w:r>
        <w:rPr>
          <w:rFonts w:ascii="Times New Roman" w:hAnsi="Times New Roman"/>
          <w:color w:val="auto"/>
          <w:u w:val="none"/>
        </w:rPr>
        <w:t>式中：（</w:t>
      </w:r>
      <w:r>
        <w:rPr>
          <w:rFonts w:ascii="Times New Roman" w:hAnsi="Times New Roman"/>
          <w:i/>
          <w:color w:val="auto"/>
          <w:u w:val="none"/>
        </w:rPr>
        <w:t>V</w:t>
      </w:r>
      <w:r>
        <w:rPr>
          <w:rFonts w:ascii="Times New Roman" w:hAnsi="Times New Roman"/>
          <w:i/>
          <w:color w:val="auto"/>
          <w:u w:val="none"/>
          <w:vertAlign w:val="subscript"/>
        </w:rPr>
        <w:t>1</w:t>
      </w:r>
      <w:r>
        <w:rPr>
          <w:rFonts w:ascii="Times New Roman" w:hAnsi="Times New Roman"/>
          <w:i/>
          <w:color w:val="auto"/>
          <w:u w:val="none"/>
        </w:rPr>
        <w:t>+V</w:t>
      </w:r>
      <w:r>
        <w:rPr>
          <w:rFonts w:ascii="Times New Roman" w:hAnsi="Times New Roman"/>
          <w:i/>
          <w:color w:val="auto"/>
          <w:u w:val="none"/>
          <w:vertAlign w:val="subscript"/>
        </w:rPr>
        <w:t>2</w:t>
      </w:r>
      <w:r>
        <w:rPr>
          <w:rFonts w:ascii="Times New Roman" w:hAnsi="Times New Roman"/>
          <w:i/>
          <w:color w:val="auto"/>
          <w:u w:val="none"/>
        </w:rPr>
        <w:t>-V</w:t>
      </w:r>
      <w:r>
        <w:rPr>
          <w:rFonts w:ascii="Times New Roman" w:hAnsi="Times New Roman"/>
          <w:i/>
          <w:color w:val="auto"/>
          <w:u w:val="none"/>
          <w:vertAlign w:val="subscript"/>
        </w:rPr>
        <w:t>3</w:t>
      </w:r>
      <w:r>
        <w:rPr>
          <w:rFonts w:ascii="Times New Roman" w:hAnsi="Times New Roman"/>
          <w:color w:val="auto"/>
          <w:u w:val="none"/>
        </w:rPr>
        <w:t>）</w:t>
      </w:r>
      <w:r>
        <w:rPr>
          <w:rFonts w:ascii="Times New Roman" w:hAnsi="Times New Roman"/>
          <w:i/>
          <w:color w:val="auto"/>
          <w:u w:val="none"/>
          <w:vertAlign w:val="subscript"/>
        </w:rPr>
        <w:t>max</w:t>
      </w:r>
      <w:r>
        <w:rPr>
          <w:rFonts w:ascii="Times New Roman" w:hAnsi="Times New Roman"/>
          <w:color w:val="auto"/>
          <w:u w:val="none"/>
        </w:rPr>
        <w:t>——指对收集系统范围内不同罐组或装置分别计算</w:t>
      </w:r>
      <w:r>
        <w:rPr>
          <w:rFonts w:ascii="Times New Roman" w:hAnsi="Times New Roman"/>
          <w:i/>
          <w:color w:val="auto"/>
          <w:u w:val="none"/>
        </w:rPr>
        <w:t>V</w:t>
      </w:r>
      <w:r>
        <w:rPr>
          <w:rFonts w:ascii="Times New Roman" w:hAnsi="Times New Roman"/>
          <w:i/>
          <w:color w:val="auto"/>
          <w:u w:val="none"/>
          <w:vertAlign w:val="subscript"/>
        </w:rPr>
        <w:t>1</w:t>
      </w:r>
      <w:r>
        <w:rPr>
          <w:rFonts w:ascii="Times New Roman" w:hAnsi="Times New Roman"/>
          <w:i/>
          <w:color w:val="auto"/>
          <w:u w:val="none"/>
        </w:rPr>
        <w:t>+V</w:t>
      </w:r>
      <w:r>
        <w:rPr>
          <w:rFonts w:ascii="Times New Roman" w:hAnsi="Times New Roman"/>
          <w:i/>
          <w:color w:val="auto"/>
          <w:u w:val="none"/>
          <w:vertAlign w:val="subscript"/>
        </w:rPr>
        <w:t>2</w:t>
      </w:r>
      <w:r>
        <w:rPr>
          <w:rFonts w:ascii="Times New Roman" w:hAnsi="Times New Roman"/>
          <w:i/>
          <w:color w:val="auto"/>
          <w:u w:val="none"/>
        </w:rPr>
        <w:t>-V</w:t>
      </w:r>
      <w:r>
        <w:rPr>
          <w:rFonts w:ascii="Times New Roman" w:hAnsi="Times New Roman"/>
          <w:i/>
          <w:color w:val="auto"/>
          <w:u w:val="none"/>
          <w:vertAlign w:val="subscript"/>
        </w:rPr>
        <w:t>3</w:t>
      </w:r>
      <w:r>
        <w:rPr>
          <w:rFonts w:ascii="Times New Roman" w:hAnsi="Times New Roman"/>
          <w:color w:val="auto"/>
          <w:u w:val="none"/>
        </w:rPr>
        <w:t>，取其中最大值。</w:t>
      </w:r>
    </w:p>
    <w:p w14:paraId="365C1C07">
      <w:pPr>
        <w:spacing w:line="360" w:lineRule="auto"/>
        <w:ind w:firstLine="480" w:firstLineChars="200"/>
        <w:rPr>
          <w:rFonts w:ascii="Times New Roman" w:hAnsi="Times New Roman"/>
          <w:color w:val="auto"/>
          <w:u w:val="none"/>
        </w:rPr>
      </w:pPr>
      <w:r>
        <w:rPr>
          <w:rFonts w:ascii="Times New Roman" w:hAnsi="Times New Roman"/>
          <w:i/>
          <w:color w:val="auto"/>
          <w:u w:val="none"/>
        </w:rPr>
        <w:t>V</w:t>
      </w:r>
      <w:r>
        <w:rPr>
          <w:rFonts w:ascii="Times New Roman" w:hAnsi="Times New Roman"/>
          <w:i/>
          <w:color w:val="auto"/>
          <w:u w:val="none"/>
          <w:vertAlign w:val="subscript"/>
        </w:rPr>
        <w:t>1</w:t>
      </w:r>
      <w:r>
        <w:rPr>
          <w:rFonts w:ascii="Times New Roman" w:hAnsi="Times New Roman"/>
          <w:color w:val="auto"/>
          <w:u w:val="none"/>
        </w:rPr>
        <w:t>——收集系统范围内发生事故的一个罐组或一套装置的物料量。储存相同物料的罐组按一个最大储罐计，装置物料量按存留最大物料量的一台反应</w:t>
      </w:r>
      <w:r>
        <w:rPr>
          <w:rFonts w:hint="eastAsia" w:ascii="Times New Roman" w:hAnsi="Times New Roman"/>
          <w:color w:val="auto"/>
          <w:u w:val="none"/>
        </w:rPr>
        <w:t>（塔）</w:t>
      </w:r>
      <w:r>
        <w:rPr>
          <w:rFonts w:ascii="Times New Roman" w:hAnsi="Times New Roman"/>
          <w:color w:val="auto"/>
          <w:u w:val="none"/>
        </w:rPr>
        <w:t>器或中间储罐计；</w:t>
      </w:r>
      <w:r>
        <w:rPr>
          <w:rFonts w:hint="eastAsia" w:ascii="Times New Roman" w:hAnsi="Times New Roman"/>
          <w:color w:val="auto"/>
          <w:u w:val="none"/>
        </w:rPr>
        <w:t>本</w:t>
      </w:r>
      <w:r>
        <w:rPr>
          <w:rFonts w:ascii="Times New Roman" w:hAnsi="Times New Roman"/>
          <w:color w:val="auto"/>
          <w:u w:val="none"/>
        </w:rPr>
        <w:t>项目</w:t>
      </w:r>
      <w:r>
        <w:rPr>
          <w:rFonts w:hint="eastAsia" w:ascii="Times New Roman" w:hAnsi="Times New Roman"/>
          <w:color w:val="auto"/>
          <w:u w:val="none"/>
          <w:lang w:val="en-US" w:eastAsia="zh-CN"/>
        </w:rPr>
        <w:t>取螯合剂原液储存罐的体积进行计算，</w:t>
      </w:r>
      <w:r>
        <w:rPr>
          <w:rFonts w:ascii="Times New Roman" w:hAnsi="Times New Roman"/>
          <w:i/>
          <w:color w:val="auto"/>
          <w:u w:val="none"/>
        </w:rPr>
        <w:t>V</w:t>
      </w:r>
      <w:r>
        <w:rPr>
          <w:rFonts w:ascii="Times New Roman" w:hAnsi="Times New Roman"/>
          <w:i/>
          <w:color w:val="auto"/>
          <w:u w:val="none"/>
          <w:vertAlign w:val="subscript"/>
        </w:rPr>
        <w:t>1</w:t>
      </w:r>
      <w:r>
        <w:rPr>
          <w:rFonts w:hint="eastAsia" w:ascii="Times New Roman" w:hAnsi="Times New Roman"/>
          <w:iCs/>
          <w:color w:val="auto"/>
          <w:u w:val="none"/>
        </w:rPr>
        <w:t>=</w:t>
      </w:r>
      <w:r>
        <w:rPr>
          <w:rFonts w:hint="eastAsia" w:ascii="Times New Roman" w:hAnsi="Times New Roman"/>
          <w:iCs/>
          <w:color w:val="auto"/>
          <w:u w:val="none"/>
          <w:lang w:val="en-US" w:eastAsia="zh-CN"/>
        </w:rPr>
        <w:t>4m</w:t>
      </w:r>
      <w:r>
        <w:rPr>
          <w:rFonts w:hint="eastAsia" w:ascii="Times New Roman" w:hAnsi="Times New Roman"/>
          <w:iCs/>
          <w:color w:val="auto"/>
          <w:u w:val="none"/>
          <w:vertAlign w:val="superscript"/>
          <w:lang w:val="en-US" w:eastAsia="zh-CN"/>
        </w:rPr>
        <w:t>3</w:t>
      </w:r>
      <w:r>
        <w:rPr>
          <w:rFonts w:ascii="Times New Roman" w:hAnsi="Times New Roman"/>
          <w:color w:val="auto"/>
          <w:u w:val="none"/>
        </w:rPr>
        <w:t>；</w:t>
      </w:r>
    </w:p>
    <w:p w14:paraId="568608E1">
      <w:pPr>
        <w:spacing w:line="360" w:lineRule="auto"/>
        <w:ind w:firstLine="480" w:firstLineChars="200"/>
        <w:rPr>
          <w:rFonts w:hint="eastAsia" w:ascii="Times New Roman" w:hAnsi="Times New Roman" w:eastAsia="宋体"/>
          <w:color w:val="auto"/>
          <w:u w:val="none"/>
          <w:lang w:eastAsia="zh-CN"/>
        </w:rPr>
      </w:pPr>
      <w:r>
        <w:rPr>
          <w:rFonts w:ascii="Times New Roman" w:hAnsi="Times New Roman"/>
          <w:i/>
          <w:color w:val="auto"/>
          <w:u w:val="none"/>
        </w:rPr>
        <w:t>V</w:t>
      </w:r>
      <w:r>
        <w:rPr>
          <w:rFonts w:ascii="Times New Roman" w:hAnsi="Times New Roman"/>
          <w:i/>
          <w:color w:val="auto"/>
          <w:u w:val="none"/>
          <w:vertAlign w:val="subscript"/>
        </w:rPr>
        <w:t>2</w:t>
      </w:r>
      <w:r>
        <w:rPr>
          <w:rFonts w:ascii="Times New Roman" w:hAnsi="Times New Roman"/>
          <w:color w:val="auto"/>
          <w:u w:val="none"/>
        </w:rPr>
        <w:t>——</w:t>
      </w:r>
      <w:r>
        <w:rPr>
          <w:rFonts w:hint="eastAsia" w:ascii="Times New Roman" w:hAnsi="Times New Roman" w:eastAsia="宋体" w:cs="Times New Roman"/>
          <w:color w:val="auto"/>
          <w:sz w:val="24"/>
          <w:highlight w:val="none"/>
          <w:lang w:val="en-US" w:eastAsia="zh-CN"/>
        </w:rPr>
        <w:t>火灾延续时间内，事故发生区域范围内的消防用水量</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；根据《消防给水及消火栓系统技术规范》（GB50974-2014）中的规定</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本项目主要火灾风险源为</w:t>
      </w:r>
      <w:r>
        <w:rPr>
          <w:rFonts w:hint="eastAsia" w:ascii="Times New Roman" w:hAnsi="Times New Roman" w:eastAsia="宋体" w:cs="Times New Roman"/>
          <w:color w:val="auto"/>
          <w:sz w:val="24"/>
          <w:highlight w:val="none"/>
          <w:lang w:val="en-US" w:eastAsia="zh-CN"/>
        </w:rPr>
        <w:t>2#厂房</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室外设计消防用水量按照15L/s</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室内设计消防用水量为10L/s</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总消防用水量为25L/s。由于项目</w:t>
      </w:r>
      <w:r>
        <w:rPr>
          <w:rFonts w:hint="eastAsia" w:ascii="Times New Roman" w:hAnsi="Times New Roman" w:eastAsia="宋体" w:cs="Times New Roman"/>
          <w:color w:val="auto"/>
          <w:sz w:val="24"/>
          <w:highlight w:val="none"/>
          <w:lang w:val="en-US" w:eastAsia="zh-CN"/>
        </w:rPr>
        <w:t>厂房为铁皮房</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且</w:t>
      </w:r>
      <w:r>
        <w:rPr>
          <w:rFonts w:hint="eastAsia" w:ascii="Times New Roman" w:hAnsi="Times New Roman" w:eastAsia="宋体" w:cs="Times New Roman"/>
          <w:color w:val="auto"/>
          <w:sz w:val="24"/>
          <w:highlight w:val="none"/>
          <w:lang w:val="en-US" w:eastAsia="zh-CN"/>
        </w:rPr>
        <w:t>厂房</w:t>
      </w:r>
      <w:r>
        <w:rPr>
          <w:rFonts w:hint="default" w:ascii="Times New Roman" w:hAnsi="Times New Roman" w:eastAsia="宋体" w:cs="Times New Roman"/>
          <w:color w:val="auto"/>
          <w:sz w:val="24"/>
          <w:highlight w:val="none"/>
        </w:rPr>
        <w:t>设有防火、防爆措施</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火灾风险较小。火灾延续时间按连续</w:t>
      </w:r>
      <w:r>
        <w:rPr>
          <w:rFonts w:hint="eastAsia" w:ascii="Times New Roman" w:hAnsi="Times New Roman" w:eastAsia="宋体" w:cs="Times New Roman"/>
          <w:color w:val="auto"/>
          <w:sz w:val="24"/>
          <w:highlight w:val="none"/>
          <w:lang w:val="en-US" w:eastAsia="zh-CN"/>
        </w:rPr>
        <w:t>0.5</w:t>
      </w:r>
      <w:r>
        <w:rPr>
          <w:rFonts w:hint="default" w:ascii="Times New Roman" w:hAnsi="Times New Roman" w:eastAsia="宋体" w:cs="Times New Roman"/>
          <w:color w:val="auto"/>
          <w:sz w:val="24"/>
          <w:highlight w:val="none"/>
        </w:rPr>
        <w:t>小时计</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即V</w:t>
      </w:r>
      <w:r>
        <w:rPr>
          <w:rFonts w:hint="default" w:ascii="Times New Roman" w:hAnsi="Times New Roman" w:eastAsia="宋体" w:cs="Times New Roman"/>
          <w:color w:val="auto"/>
          <w:sz w:val="24"/>
          <w:highlight w:val="none"/>
          <w:vertAlign w:val="subscript"/>
        </w:rPr>
        <w:t>2</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45</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vertAlign w:val="baseline"/>
          <w:lang w:eastAsia="zh-CN"/>
        </w:rPr>
        <w:t>；</w:t>
      </w:r>
    </w:p>
    <w:p w14:paraId="33B199C3">
      <w:pPr>
        <w:spacing w:line="360" w:lineRule="auto"/>
        <w:ind w:firstLine="480" w:firstLineChars="200"/>
        <w:rPr>
          <w:rFonts w:ascii="Times New Roman" w:hAnsi="Times New Roman"/>
          <w:color w:val="auto"/>
          <w:u w:val="none"/>
        </w:rPr>
      </w:pPr>
      <w:r>
        <w:rPr>
          <w:rFonts w:ascii="Times New Roman" w:hAnsi="Times New Roman"/>
          <w:i/>
          <w:color w:val="auto"/>
          <w:u w:val="none"/>
        </w:rPr>
        <w:t>V</w:t>
      </w:r>
      <w:r>
        <w:rPr>
          <w:rFonts w:ascii="Times New Roman" w:hAnsi="Times New Roman"/>
          <w:i/>
          <w:color w:val="auto"/>
          <w:u w:val="none"/>
          <w:vertAlign w:val="subscript"/>
        </w:rPr>
        <w:t xml:space="preserve">3 </w:t>
      </w:r>
      <w:r>
        <w:rPr>
          <w:rFonts w:ascii="Times New Roman" w:hAnsi="Times New Roman"/>
          <w:color w:val="auto"/>
          <w:u w:val="none"/>
        </w:rPr>
        <w:t>——发生事故时</w:t>
      </w:r>
      <w:r>
        <w:rPr>
          <w:rFonts w:hint="eastAsia" w:ascii="Times New Roman" w:hAnsi="Times New Roman"/>
          <w:color w:val="auto"/>
          <w:u w:val="none"/>
          <w:lang w:val="en-US" w:eastAsia="zh-CN"/>
        </w:rPr>
        <w:t>可以储存、转运到其他设施的事故事故排水量</w:t>
      </w:r>
      <w:r>
        <w:rPr>
          <w:rFonts w:ascii="Times New Roman" w:hAnsi="Times New Roman"/>
          <w:color w:val="auto"/>
          <w:u w:val="none"/>
        </w:rPr>
        <w:t>，m</w:t>
      </w:r>
      <w:r>
        <w:rPr>
          <w:rFonts w:ascii="Times New Roman" w:hAnsi="Times New Roman"/>
          <w:color w:val="auto"/>
          <w:u w:val="none"/>
          <w:vertAlign w:val="superscript"/>
        </w:rPr>
        <w:t>3</w:t>
      </w:r>
      <w:r>
        <w:rPr>
          <w:rFonts w:ascii="Times New Roman" w:hAnsi="Times New Roman"/>
          <w:color w:val="auto"/>
          <w:u w:val="none"/>
        </w:rPr>
        <w:t>；</w:t>
      </w:r>
      <w:r>
        <w:rPr>
          <w:rFonts w:hint="eastAsia" w:ascii="Times New Roman" w:hAnsi="Times New Roman"/>
          <w:color w:val="auto"/>
          <w:u w:val="none"/>
          <w:lang w:val="en-US" w:eastAsia="zh-CN"/>
        </w:rPr>
        <w:t>厂房内有两个3.23m³的沉淀池，</w:t>
      </w:r>
      <w:r>
        <w:rPr>
          <w:rFonts w:ascii="Times New Roman" w:hAnsi="Times New Roman"/>
          <w:i/>
          <w:color w:val="auto"/>
          <w:u w:val="none"/>
        </w:rPr>
        <w:t>V</w:t>
      </w:r>
      <w:r>
        <w:rPr>
          <w:rFonts w:ascii="Times New Roman" w:hAnsi="Times New Roman"/>
          <w:i/>
          <w:color w:val="auto"/>
          <w:u w:val="none"/>
          <w:vertAlign w:val="subscript"/>
        </w:rPr>
        <w:t>3</w:t>
      </w:r>
      <w:r>
        <w:rPr>
          <w:rFonts w:hint="eastAsia" w:ascii="Times New Roman" w:hAnsi="Times New Roman"/>
          <w:color w:val="auto"/>
          <w:u w:val="none"/>
        </w:rPr>
        <w:t>=</w:t>
      </w:r>
      <w:r>
        <w:rPr>
          <w:rFonts w:hint="eastAsia" w:ascii="Times New Roman" w:hAnsi="Times New Roman"/>
          <w:color w:val="auto"/>
          <w:u w:val="none"/>
          <w:lang w:val="en-US" w:eastAsia="zh-CN"/>
        </w:rPr>
        <w:t>3.23+3.23=6.46</w:t>
      </w:r>
      <w:r>
        <w:rPr>
          <w:rFonts w:ascii="Times New Roman" w:hAnsi="Times New Roman"/>
          <w:color w:val="auto"/>
          <w:u w:val="none"/>
        </w:rPr>
        <w:t>；</w:t>
      </w:r>
    </w:p>
    <w:p w14:paraId="570320BE">
      <w:pPr>
        <w:spacing w:line="360" w:lineRule="auto"/>
        <w:ind w:firstLine="480" w:firstLineChars="200"/>
        <w:rPr>
          <w:rFonts w:ascii="Times New Roman" w:hAnsi="Times New Roman"/>
          <w:color w:val="auto"/>
          <w:u w:val="none"/>
        </w:rPr>
      </w:pPr>
      <w:r>
        <w:rPr>
          <w:rFonts w:ascii="Times New Roman" w:hAnsi="Times New Roman"/>
          <w:i/>
          <w:color w:val="auto"/>
          <w:u w:val="none"/>
        </w:rPr>
        <w:t>V</w:t>
      </w:r>
      <w:r>
        <w:rPr>
          <w:rFonts w:ascii="Times New Roman" w:hAnsi="Times New Roman"/>
          <w:i/>
          <w:color w:val="auto"/>
          <w:u w:val="none"/>
          <w:vertAlign w:val="subscript"/>
        </w:rPr>
        <w:t xml:space="preserve">4 </w:t>
      </w:r>
      <w:r>
        <w:rPr>
          <w:rFonts w:ascii="Times New Roman" w:hAnsi="Times New Roman"/>
          <w:color w:val="auto"/>
          <w:u w:val="none"/>
        </w:rPr>
        <w:t>——发生事故时仍必须进入该收集系统的生产废水量，m</w:t>
      </w:r>
      <w:r>
        <w:rPr>
          <w:rFonts w:ascii="Times New Roman" w:hAnsi="Times New Roman"/>
          <w:color w:val="auto"/>
          <w:u w:val="none"/>
          <w:vertAlign w:val="superscript"/>
        </w:rPr>
        <w:t>3</w:t>
      </w:r>
      <w:r>
        <w:rPr>
          <w:rFonts w:ascii="Times New Roman" w:hAnsi="Times New Roman"/>
          <w:color w:val="auto"/>
          <w:u w:val="none"/>
        </w:rPr>
        <w:t>；本</w:t>
      </w:r>
      <w:r>
        <w:rPr>
          <w:rFonts w:hint="eastAsia" w:ascii="Times New Roman" w:hAnsi="Times New Roman"/>
          <w:color w:val="auto"/>
          <w:u w:val="none"/>
          <w:lang w:eastAsia="zh-CN"/>
        </w:rPr>
        <w:t>改扩建</w:t>
      </w:r>
      <w:r>
        <w:rPr>
          <w:rFonts w:ascii="Times New Roman" w:hAnsi="Times New Roman"/>
          <w:color w:val="auto"/>
          <w:u w:val="none"/>
        </w:rPr>
        <w:t>项目</w:t>
      </w:r>
      <w:r>
        <w:rPr>
          <w:rFonts w:hint="eastAsia" w:ascii="Times New Roman" w:hAnsi="Times New Roman"/>
          <w:color w:val="auto"/>
          <w:u w:val="none"/>
        </w:rPr>
        <w:t>建设完成后，</w:t>
      </w:r>
      <w:r>
        <w:rPr>
          <w:rFonts w:ascii="Times New Roman" w:hAnsi="Times New Roman"/>
          <w:color w:val="auto"/>
          <w:u w:val="none"/>
        </w:rPr>
        <w:t>生产废水</w:t>
      </w:r>
      <w:r>
        <w:rPr>
          <w:rFonts w:hint="eastAsia" w:ascii="Times New Roman" w:hAnsi="Times New Roman"/>
          <w:color w:val="auto"/>
          <w:u w:val="none"/>
        </w:rPr>
        <w:t>总量为</w:t>
      </w:r>
      <w:r>
        <w:rPr>
          <w:rFonts w:hint="eastAsia" w:ascii="Times New Roman" w:hAnsi="Times New Roman"/>
          <w:color w:val="auto"/>
          <w:u w:val="none"/>
          <w:lang w:val="en-US" w:eastAsia="zh-CN"/>
        </w:rPr>
        <w:t>4</w:t>
      </w:r>
      <w:r>
        <w:rPr>
          <w:rFonts w:ascii="Times New Roman" w:hAnsi="Times New Roman"/>
          <w:color w:val="auto"/>
          <w:u w:val="none"/>
        </w:rPr>
        <w:t>m</w:t>
      </w:r>
      <w:r>
        <w:rPr>
          <w:rFonts w:ascii="Times New Roman" w:hAnsi="Times New Roman"/>
          <w:color w:val="auto"/>
          <w:u w:val="none"/>
          <w:vertAlign w:val="superscript"/>
        </w:rPr>
        <w:t>3</w:t>
      </w:r>
      <w:r>
        <w:rPr>
          <w:rFonts w:ascii="Times New Roman" w:hAnsi="Times New Roman"/>
          <w:color w:val="auto"/>
          <w:u w:val="none"/>
        </w:rPr>
        <w:t>/d。</w:t>
      </w:r>
    </w:p>
    <w:p w14:paraId="4E3D6EE5">
      <w:pPr>
        <w:spacing w:line="360" w:lineRule="auto"/>
        <w:ind w:firstLine="480"/>
        <w:rPr>
          <w:rFonts w:hint="default" w:eastAsia="宋体"/>
          <w:color w:val="auto"/>
          <w:sz w:val="24"/>
          <w:u w:val="none"/>
        </w:rPr>
      </w:pPr>
      <w:r>
        <w:rPr>
          <w:rFonts w:eastAsia="宋体"/>
          <w:i/>
          <w:color w:val="auto"/>
          <w:sz w:val="24"/>
          <w:u w:val="none"/>
        </w:rPr>
        <w:t>V</w:t>
      </w:r>
      <w:r>
        <w:rPr>
          <w:rFonts w:eastAsia="宋体"/>
          <w:i/>
          <w:color w:val="auto"/>
          <w:sz w:val="24"/>
          <w:u w:val="none"/>
          <w:vertAlign w:val="subscript"/>
        </w:rPr>
        <w:t>5</w:t>
      </w:r>
      <w:r>
        <w:rPr>
          <w:rFonts w:eastAsia="宋体"/>
          <w:color w:val="auto"/>
          <w:sz w:val="24"/>
          <w:u w:val="none"/>
        </w:rPr>
        <w:t>——</w:t>
      </w:r>
      <w:r>
        <w:rPr>
          <w:rFonts w:hint="default" w:eastAsia="宋体"/>
          <w:color w:val="auto"/>
          <w:sz w:val="24"/>
          <w:u w:val="none"/>
        </w:rPr>
        <w:t>发生事故时可能进入该收集系统的降雨量</w:t>
      </w:r>
      <w:r>
        <w:rPr>
          <w:rFonts w:hint="eastAsia" w:eastAsia="宋体"/>
          <w:color w:val="auto"/>
          <w:sz w:val="24"/>
          <w:u w:val="none"/>
          <w:lang w:eastAsia="zh-CN"/>
        </w:rPr>
        <w:t>，</w:t>
      </w:r>
      <w:r>
        <w:rPr>
          <w:rFonts w:hint="eastAsia" w:eastAsia="宋体"/>
          <w:color w:val="auto"/>
          <w:sz w:val="24"/>
          <w:u w:val="none"/>
          <w:lang w:val="en-US" w:eastAsia="zh-CN"/>
        </w:rPr>
        <w:t>m³</w:t>
      </w:r>
      <w:r>
        <w:rPr>
          <w:rFonts w:hint="default" w:eastAsia="宋体"/>
          <w:color w:val="auto"/>
          <w:sz w:val="24"/>
          <w:u w:val="none"/>
        </w:rPr>
        <w:t>；</w:t>
      </w:r>
    </w:p>
    <w:p w14:paraId="2DA9C7CF">
      <w:pPr>
        <w:spacing w:line="360" w:lineRule="auto"/>
        <w:ind w:firstLine="480"/>
        <w:rPr>
          <w:rFonts w:hint="default" w:eastAsia="宋体"/>
          <w:color w:val="auto"/>
          <w:sz w:val="24"/>
          <w:u w:val="none"/>
        </w:rPr>
      </w:pPr>
      <w:r>
        <w:rPr>
          <w:rFonts w:eastAsia="宋体"/>
          <w:i/>
          <w:color w:val="auto"/>
          <w:sz w:val="24"/>
          <w:u w:val="none"/>
        </w:rPr>
        <w:t>V</w:t>
      </w:r>
      <w:r>
        <w:rPr>
          <w:rFonts w:eastAsia="宋体"/>
          <w:i/>
          <w:color w:val="auto"/>
          <w:sz w:val="24"/>
          <w:u w:val="none"/>
          <w:vertAlign w:val="subscript"/>
        </w:rPr>
        <w:t>5</w:t>
      </w:r>
      <w:r>
        <w:rPr>
          <w:rFonts w:hint="default" w:eastAsia="宋体"/>
          <w:color w:val="auto"/>
          <w:sz w:val="24"/>
          <w:u w:val="none"/>
        </w:rPr>
        <w:t>=10qf；q=qn/n</w:t>
      </w:r>
    </w:p>
    <w:p w14:paraId="5782EA85">
      <w:pPr>
        <w:spacing w:line="360" w:lineRule="auto"/>
        <w:ind w:firstLine="480"/>
        <w:rPr>
          <w:rFonts w:hint="default" w:eastAsia="宋体"/>
          <w:color w:val="auto"/>
          <w:sz w:val="24"/>
          <w:u w:val="none"/>
        </w:rPr>
      </w:pPr>
      <w:r>
        <w:rPr>
          <w:rFonts w:hint="default" w:eastAsia="宋体"/>
          <w:color w:val="auto"/>
          <w:sz w:val="24"/>
          <w:u w:val="none"/>
        </w:rPr>
        <w:t>q——降雨强度</w:t>
      </w:r>
      <w:r>
        <w:rPr>
          <w:rFonts w:hint="eastAsia" w:eastAsia="宋体"/>
          <w:color w:val="auto"/>
          <w:sz w:val="24"/>
          <w:u w:val="none"/>
          <w:lang w:eastAsia="zh-CN"/>
        </w:rPr>
        <w:t>，</w:t>
      </w:r>
      <w:r>
        <w:rPr>
          <w:rFonts w:hint="default" w:eastAsia="宋体"/>
          <w:color w:val="auto"/>
          <w:sz w:val="24"/>
          <w:u w:val="none"/>
        </w:rPr>
        <w:t>按日均降雨量</w:t>
      </w:r>
      <w:r>
        <w:rPr>
          <w:rFonts w:hint="eastAsia" w:eastAsia="宋体"/>
          <w:color w:val="auto"/>
          <w:sz w:val="24"/>
          <w:u w:val="none"/>
          <w:lang w:eastAsia="zh-CN"/>
        </w:rPr>
        <w:t>，</w:t>
      </w:r>
      <w:r>
        <w:rPr>
          <w:rFonts w:hint="default" w:eastAsia="宋体"/>
          <w:color w:val="auto"/>
          <w:sz w:val="24"/>
          <w:u w:val="none"/>
        </w:rPr>
        <w:t>mm；</w:t>
      </w:r>
    </w:p>
    <w:p w14:paraId="3D778BDD">
      <w:pPr>
        <w:spacing w:line="360" w:lineRule="auto"/>
        <w:ind w:firstLine="480"/>
        <w:rPr>
          <w:rFonts w:hint="default" w:eastAsia="宋体"/>
          <w:color w:val="auto"/>
          <w:sz w:val="24"/>
          <w:u w:val="none"/>
        </w:rPr>
      </w:pPr>
      <w:r>
        <w:rPr>
          <w:rFonts w:hint="default" w:eastAsia="宋体"/>
          <w:color w:val="auto"/>
          <w:sz w:val="24"/>
          <w:u w:val="none"/>
        </w:rPr>
        <w:t>qn——年平均降雨量</w:t>
      </w:r>
      <w:r>
        <w:rPr>
          <w:rFonts w:hint="eastAsia" w:eastAsia="宋体"/>
          <w:color w:val="auto"/>
          <w:sz w:val="24"/>
          <w:u w:val="none"/>
          <w:lang w:eastAsia="zh-CN"/>
        </w:rPr>
        <w:t>，</w:t>
      </w:r>
      <w:r>
        <w:rPr>
          <w:rFonts w:hint="default" w:eastAsia="宋体"/>
          <w:color w:val="auto"/>
          <w:sz w:val="24"/>
          <w:u w:val="none"/>
        </w:rPr>
        <w:t>mm；</w:t>
      </w:r>
    </w:p>
    <w:p w14:paraId="213085A6">
      <w:pPr>
        <w:spacing w:line="360" w:lineRule="auto"/>
        <w:ind w:firstLine="480"/>
        <w:rPr>
          <w:rFonts w:hint="default" w:eastAsia="宋体"/>
          <w:color w:val="auto"/>
          <w:sz w:val="24"/>
          <w:u w:val="none"/>
        </w:rPr>
      </w:pPr>
      <w:r>
        <w:rPr>
          <w:rFonts w:hint="default" w:eastAsia="宋体"/>
          <w:color w:val="auto"/>
          <w:sz w:val="24"/>
          <w:u w:val="none"/>
        </w:rPr>
        <w:t>n——年均降雨日数；</w:t>
      </w:r>
    </w:p>
    <w:p w14:paraId="73F84E76">
      <w:pPr>
        <w:spacing w:line="360" w:lineRule="auto"/>
        <w:ind w:firstLine="480"/>
        <w:rPr>
          <w:rFonts w:hint="default" w:eastAsia="宋体"/>
          <w:color w:val="auto"/>
          <w:sz w:val="24"/>
          <w:u w:val="none"/>
        </w:rPr>
      </w:pPr>
      <w:r>
        <w:rPr>
          <w:rFonts w:hint="default" w:eastAsia="宋体"/>
          <w:color w:val="auto"/>
          <w:sz w:val="24"/>
          <w:u w:val="none"/>
        </w:rPr>
        <w:t>f——必须进入事故废水收集系统的雨水汇水面积</w:t>
      </w:r>
      <w:r>
        <w:rPr>
          <w:rFonts w:hint="eastAsia" w:eastAsia="宋体"/>
          <w:color w:val="auto"/>
          <w:sz w:val="24"/>
          <w:u w:val="none"/>
          <w:lang w:eastAsia="zh-CN"/>
        </w:rPr>
        <w:t>，</w:t>
      </w:r>
      <w:r>
        <w:rPr>
          <w:rFonts w:hint="default" w:eastAsia="宋体"/>
          <w:color w:val="auto"/>
          <w:sz w:val="24"/>
          <w:u w:val="none"/>
        </w:rPr>
        <w:t>ha。</w:t>
      </w:r>
    </w:p>
    <w:p w14:paraId="6FC4E30F">
      <w:pPr>
        <w:spacing w:line="360" w:lineRule="auto"/>
        <w:ind w:firstLine="480"/>
        <w:rPr>
          <w:rFonts w:eastAsia="宋体"/>
          <w:color w:val="auto"/>
          <w:sz w:val="24"/>
          <w:szCs w:val="24"/>
          <w:highlight w:val="none"/>
          <w:u w:val="none"/>
          <w:lang w:val="en-US" w:eastAsia="zh-CN"/>
        </w:rPr>
      </w:pPr>
      <w:r>
        <w:rPr>
          <w:rFonts w:hint="eastAsia" w:eastAsia="宋体"/>
          <w:color w:val="auto"/>
          <w:sz w:val="24"/>
          <w:u w:val="none"/>
          <w:lang w:val="en-US" w:eastAsia="zh-CN"/>
        </w:rPr>
        <w:t>福州市</w:t>
      </w:r>
      <w:r>
        <w:rPr>
          <w:rFonts w:hint="default" w:eastAsia="宋体"/>
          <w:color w:val="auto"/>
          <w:sz w:val="24"/>
          <w:u w:val="none"/>
        </w:rPr>
        <w:t>多年平均降雨量约</w:t>
      </w:r>
      <w:r>
        <w:rPr>
          <w:rFonts w:hint="eastAsia" w:eastAsia="宋体"/>
          <w:color w:val="auto"/>
          <w:sz w:val="24"/>
          <w:u w:val="none"/>
          <w:lang w:val="en-US" w:eastAsia="zh-CN"/>
        </w:rPr>
        <w:t>1348.8</w:t>
      </w:r>
      <w:r>
        <w:rPr>
          <w:rFonts w:hint="default" w:eastAsia="宋体"/>
          <w:color w:val="auto"/>
          <w:sz w:val="24"/>
          <w:u w:val="none"/>
        </w:rPr>
        <w:t>mm</w:t>
      </w:r>
      <w:r>
        <w:rPr>
          <w:rFonts w:hint="eastAsia" w:eastAsia="宋体"/>
          <w:color w:val="auto"/>
          <w:sz w:val="24"/>
          <w:u w:val="none"/>
          <w:lang w:eastAsia="zh-CN"/>
        </w:rPr>
        <w:t>，2011到2024</w:t>
      </w:r>
      <w:r>
        <w:rPr>
          <w:rFonts w:hint="eastAsia" w:eastAsia="宋体"/>
          <w:color w:val="auto"/>
          <w:sz w:val="24"/>
          <w:u w:val="none"/>
          <w:lang w:val="en-US" w:eastAsia="zh-CN"/>
        </w:rPr>
        <w:t>年平均降雨天数116天</w:t>
      </w:r>
      <w:r>
        <w:rPr>
          <w:rFonts w:hint="eastAsia" w:eastAsia="宋体"/>
          <w:color w:val="auto"/>
          <w:sz w:val="24"/>
          <w:u w:val="none"/>
          <w:lang w:eastAsia="zh-CN"/>
        </w:rPr>
        <w:t>，</w:t>
      </w:r>
      <w:r>
        <w:rPr>
          <w:rFonts w:hint="default" w:eastAsia="宋体"/>
          <w:color w:val="auto"/>
          <w:sz w:val="24"/>
          <w:u w:val="none"/>
        </w:rPr>
        <w:t>因此降雨量q=</w:t>
      </w:r>
      <w:r>
        <w:rPr>
          <w:rFonts w:hint="eastAsia" w:eastAsia="宋体"/>
          <w:color w:val="auto"/>
          <w:sz w:val="24"/>
          <w:u w:val="none"/>
          <w:lang w:val="en-US" w:eastAsia="zh-CN"/>
        </w:rPr>
        <w:t>1348.8</w:t>
      </w:r>
      <w:r>
        <w:rPr>
          <w:rFonts w:hint="default" w:eastAsia="宋体"/>
          <w:color w:val="auto"/>
          <w:sz w:val="24"/>
          <w:u w:val="none"/>
        </w:rPr>
        <w:t>mm÷</w:t>
      </w:r>
      <w:r>
        <w:rPr>
          <w:rFonts w:hint="eastAsia" w:eastAsia="宋体"/>
          <w:color w:val="auto"/>
          <w:sz w:val="24"/>
          <w:u w:val="none"/>
          <w:lang w:val="en-US" w:eastAsia="zh-CN"/>
        </w:rPr>
        <w:t>116</w:t>
      </w:r>
      <w:r>
        <w:rPr>
          <w:rFonts w:hint="default" w:eastAsia="宋体"/>
          <w:color w:val="auto"/>
          <w:sz w:val="24"/>
          <w:u w:val="none"/>
        </w:rPr>
        <w:t>d=</w:t>
      </w:r>
      <w:r>
        <w:rPr>
          <w:rFonts w:hint="eastAsia" w:eastAsia="宋体"/>
          <w:color w:val="auto"/>
          <w:sz w:val="24"/>
          <w:u w:val="none"/>
          <w:lang w:val="en-US" w:eastAsia="zh-CN"/>
        </w:rPr>
        <w:t>11.62</w:t>
      </w:r>
      <w:r>
        <w:rPr>
          <w:rFonts w:hint="default" w:eastAsia="宋体"/>
          <w:color w:val="auto"/>
          <w:sz w:val="24"/>
          <w:u w:val="none"/>
        </w:rPr>
        <w:t>mm/d。厂区必须进入事故废水收集系统的雨水汇水面积f约</w:t>
      </w:r>
      <w:r>
        <w:rPr>
          <w:rFonts w:hint="eastAsia" w:eastAsia="宋体"/>
          <w:color w:val="auto"/>
          <w:sz w:val="24"/>
          <w:u w:val="none"/>
          <w:lang w:val="en-US" w:eastAsia="zh-CN"/>
        </w:rPr>
        <w:t>1.1</w:t>
      </w:r>
      <w:r>
        <w:rPr>
          <w:rFonts w:hint="default" w:eastAsia="宋体"/>
          <w:color w:val="auto"/>
          <w:sz w:val="24"/>
          <w:u w:val="none"/>
        </w:rPr>
        <w:t>ha（按厂区</w:t>
      </w:r>
      <w:r>
        <w:rPr>
          <w:rFonts w:hint="eastAsia" w:eastAsia="宋体"/>
          <w:color w:val="auto"/>
          <w:sz w:val="24"/>
          <w:u w:val="none"/>
          <w:lang w:val="en-US" w:eastAsia="zh-CN"/>
        </w:rPr>
        <w:t>面积扣除绿化面积及办公区面积计算</w:t>
      </w:r>
      <w:r>
        <w:rPr>
          <w:rFonts w:hint="default" w:eastAsia="宋体"/>
          <w:color w:val="auto"/>
          <w:sz w:val="24"/>
          <w:u w:val="none"/>
        </w:rPr>
        <w:t>）</w:t>
      </w:r>
      <w:r>
        <w:rPr>
          <w:rFonts w:hint="eastAsia" w:eastAsia="宋体"/>
          <w:color w:val="auto"/>
          <w:sz w:val="24"/>
          <w:u w:val="none"/>
          <w:lang w:eastAsia="zh-CN"/>
        </w:rPr>
        <w:t>，</w:t>
      </w:r>
      <w:r>
        <w:rPr>
          <w:rFonts w:hint="default" w:eastAsia="宋体"/>
          <w:color w:val="auto"/>
          <w:sz w:val="24"/>
          <w:u w:val="none"/>
        </w:rPr>
        <w:t>V5=10qf=10×9.94×</w:t>
      </w:r>
      <w:r>
        <w:rPr>
          <w:rFonts w:hint="eastAsia" w:eastAsia="宋体"/>
          <w:color w:val="auto"/>
          <w:sz w:val="24"/>
          <w:u w:val="none"/>
          <w:lang w:val="en-US" w:eastAsia="zh-CN"/>
        </w:rPr>
        <w:t>1.1</w:t>
      </w:r>
      <w:r>
        <w:rPr>
          <w:rFonts w:hint="default" w:eastAsia="宋体"/>
          <w:color w:val="auto"/>
          <w:sz w:val="24"/>
          <w:u w:val="none"/>
        </w:rPr>
        <w:t>=</w:t>
      </w:r>
      <w:r>
        <w:rPr>
          <w:rFonts w:hint="eastAsia" w:eastAsia="宋体"/>
          <w:color w:val="auto"/>
          <w:sz w:val="24"/>
          <w:u w:val="none"/>
          <w:lang w:val="en-US" w:eastAsia="zh-CN"/>
        </w:rPr>
        <w:t>127.8m³</w:t>
      </w:r>
      <w:r>
        <w:rPr>
          <w:rFonts w:hint="default" w:eastAsia="宋体"/>
          <w:color w:val="auto"/>
          <w:sz w:val="24"/>
          <w:u w:val="none"/>
        </w:rPr>
        <w:t>；</w:t>
      </w:r>
    </w:p>
    <w:p w14:paraId="04225204">
      <w:pPr>
        <w:spacing w:line="360" w:lineRule="auto"/>
        <w:ind w:firstLine="480"/>
        <w:rPr>
          <w:rFonts w:eastAsia="宋体"/>
          <w:color w:val="auto"/>
          <w:sz w:val="24"/>
          <w:szCs w:val="24"/>
          <w:u w:val="none"/>
          <w:vertAlign w:val="superscript"/>
          <w:lang w:val="en-US" w:eastAsia="zh-CN"/>
        </w:rPr>
      </w:pPr>
      <w:r>
        <w:rPr>
          <w:rFonts w:hint="eastAsia" w:eastAsia="宋体"/>
          <w:color w:val="auto"/>
          <w:sz w:val="24"/>
          <w:szCs w:val="24"/>
          <w:u w:val="none"/>
          <w:lang w:val="en-US" w:eastAsia="zh-CN"/>
        </w:rPr>
        <w:t>因此，</w:t>
      </w:r>
      <w:r>
        <w:rPr>
          <w:rFonts w:hint="eastAsia" w:eastAsia="宋体"/>
          <w:i/>
          <w:iCs/>
          <w:color w:val="auto"/>
          <w:sz w:val="24"/>
          <w:szCs w:val="24"/>
          <w:u w:val="none"/>
          <w:lang w:val="en-US" w:eastAsia="zh-CN"/>
        </w:rPr>
        <w:t>V</w:t>
      </w:r>
      <w:r>
        <w:rPr>
          <w:rFonts w:hint="eastAsia" w:eastAsia="宋体"/>
          <w:i/>
          <w:iCs/>
          <w:color w:val="auto"/>
          <w:sz w:val="24"/>
          <w:szCs w:val="24"/>
          <w:u w:val="none"/>
          <w:vertAlign w:val="subscript"/>
          <w:lang w:val="en-US" w:eastAsia="zh-CN"/>
        </w:rPr>
        <w:t>总</w:t>
      </w:r>
      <w:r>
        <w:rPr>
          <w:rFonts w:hint="eastAsia" w:eastAsia="宋体"/>
          <w:color w:val="auto"/>
          <w:sz w:val="24"/>
          <w:szCs w:val="24"/>
          <w:u w:val="none"/>
          <w:lang w:val="en-US" w:eastAsia="zh-CN"/>
        </w:rPr>
        <w:t>=（4+45-6.46）+4+127.8=174.34m</w:t>
      </w:r>
      <w:r>
        <w:rPr>
          <w:rFonts w:hint="eastAsia" w:eastAsia="宋体"/>
          <w:color w:val="auto"/>
          <w:sz w:val="24"/>
          <w:szCs w:val="24"/>
          <w:u w:val="none"/>
          <w:vertAlign w:val="superscript"/>
          <w:lang w:val="en-US" w:eastAsia="zh-CN"/>
        </w:rPr>
        <w:t>3</w:t>
      </w:r>
    </w:p>
    <w:p w14:paraId="01548916">
      <w:pPr>
        <w:keepNext w:val="0"/>
        <w:keepLines w:val="0"/>
        <w:widowControl/>
        <w:suppressLineNumbers w:val="0"/>
        <w:jc w:val="left"/>
        <w:rPr>
          <w:rFonts w:hint="eastAsia" w:cs="Times New Roman"/>
          <w:color w:val="auto"/>
          <w:lang w:val="en-US" w:eastAsia="zh-CN"/>
        </w:rPr>
      </w:pPr>
      <w:r>
        <w:rPr>
          <w:rFonts w:hint="eastAsia" w:eastAsia="宋体"/>
          <w:color w:val="auto"/>
          <w:sz w:val="24"/>
          <w:szCs w:val="24"/>
          <w:u w:val="none"/>
          <w:lang w:val="en-US" w:eastAsia="zh-CN"/>
        </w:rPr>
        <w:t>根据计算，项目事故废水总量为174.34</w:t>
      </w:r>
      <w:r>
        <w:rPr>
          <w:rFonts w:hint="eastAsia"/>
          <w:color w:val="auto"/>
          <w:sz w:val="24"/>
          <w:szCs w:val="24"/>
          <w:u w:val="none"/>
          <w:lang w:val="en-US" w:eastAsia="zh-CN"/>
        </w:rPr>
        <w:t>m³</w:t>
      </w:r>
      <w:r>
        <w:rPr>
          <w:rFonts w:hint="eastAsia" w:eastAsia="宋体"/>
          <w:color w:val="auto"/>
          <w:sz w:val="24"/>
          <w:szCs w:val="24"/>
          <w:u w:val="none"/>
          <w:lang w:val="en-US" w:eastAsia="zh-CN"/>
        </w:rPr>
        <w:t>，厂区已有</w:t>
      </w:r>
      <w:r>
        <w:rPr>
          <w:rFonts w:hint="eastAsia"/>
          <w:color w:val="auto"/>
          <w:sz w:val="24"/>
          <w:szCs w:val="24"/>
          <w:u w:val="none"/>
          <w:lang w:val="en-US" w:eastAsia="zh-CN"/>
        </w:rPr>
        <w:t>一个</w:t>
      </w:r>
      <w:r>
        <w:rPr>
          <w:rFonts w:hint="eastAsia" w:eastAsia="宋体"/>
          <w:color w:val="auto"/>
          <w:sz w:val="24"/>
          <w:szCs w:val="24"/>
          <w:u w:val="none"/>
          <w:lang w:val="en-US" w:eastAsia="zh-CN"/>
        </w:rPr>
        <w:t>120</w:t>
      </w:r>
      <w:r>
        <w:rPr>
          <w:rFonts w:hint="eastAsia"/>
          <w:color w:val="auto"/>
          <w:sz w:val="24"/>
          <w:szCs w:val="24"/>
          <w:u w:val="none"/>
          <w:lang w:val="en-US" w:eastAsia="zh-CN"/>
        </w:rPr>
        <w:t>m³</w:t>
      </w:r>
      <w:r>
        <w:rPr>
          <w:rFonts w:hint="eastAsia" w:eastAsia="宋体"/>
          <w:color w:val="auto"/>
          <w:sz w:val="24"/>
          <w:szCs w:val="24"/>
          <w:u w:val="none"/>
          <w:vertAlign w:val="baseline"/>
          <w:lang w:val="en-US" w:eastAsia="zh-CN"/>
        </w:rPr>
        <w:t>事故应急池，</w:t>
      </w:r>
      <w:r>
        <w:rPr>
          <w:rFonts w:hint="eastAsia" w:eastAsia="宋体"/>
          <w:color w:val="auto"/>
          <w:sz w:val="24"/>
          <w:szCs w:val="24"/>
          <w:u w:val="none"/>
          <w:lang w:val="en-US" w:eastAsia="zh-CN"/>
        </w:rPr>
        <w:t>在现有事故应急池边上建设一个100</w:t>
      </w:r>
      <w:r>
        <w:rPr>
          <w:rFonts w:hint="eastAsia"/>
          <w:color w:val="auto"/>
          <w:sz w:val="24"/>
          <w:szCs w:val="24"/>
          <w:u w:val="none"/>
          <w:lang w:val="en-US" w:eastAsia="zh-CN"/>
        </w:rPr>
        <w:t>m³</w:t>
      </w:r>
      <w:r>
        <w:rPr>
          <w:rFonts w:hint="eastAsia" w:eastAsia="宋体"/>
          <w:color w:val="auto"/>
          <w:sz w:val="24"/>
          <w:szCs w:val="24"/>
          <w:u w:val="none"/>
          <w:vertAlign w:val="baseline"/>
          <w:lang w:val="en-US" w:eastAsia="zh-CN"/>
        </w:rPr>
        <w:t>事故应急池</w:t>
      </w:r>
      <w:r>
        <w:rPr>
          <w:rFonts w:hint="eastAsia" w:eastAsia="宋体"/>
          <w:color w:val="auto"/>
          <w:sz w:val="24"/>
          <w:szCs w:val="24"/>
          <w:u w:val="none"/>
          <w:lang w:val="en-US" w:eastAsia="zh-CN"/>
        </w:rPr>
        <w:t>，</w:t>
      </w:r>
      <w:r>
        <w:rPr>
          <w:rFonts w:hint="eastAsia"/>
          <w:color w:val="auto"/>
          <w:sz w:val="24"/>
          <w:szCs w:val="24"/>
          <w:u w:val="none"/>
          <w:lang w:val="en-US" w:eastAsia="zh-CN"/>
        </w:rPr>
        <w:t>合计容量2</w:t>
      </w:r>
      <w:r>
        <w:rPr>
          <w:rFonts w:hint="eastAsia" w:eastAsia="宋体"/>
          <w:color w:val="auto"/>
          <w:sz w:val="24"/>
          <w:szCs w:val="24"/>
          <w:u w:val="none"/>
          <w:lang w:val="en-US" w:eastAsia="zh-CN"/>
        </w:rPr>
        <w:t>20</w:t>
      </w:r>
      <w:r>
        <w:rPr>
          <w:rFonts w:hint="eastAsia"/>
          <w:color w:val="auto"/>
          <w:sz w:val="24"/>
          <w:szCs w:val="24"/>
          <w:u w:val="none"/>
          <w:lang w:val="en-US" w:eastAsia="zh-CN"/>
        </w:rPr>
        <w:t>m³</w:t>
      </w:r>
      <w:r>
        <w:rPr>
          <w:rFonts w:hint="eastAsia"/>
          <w:color w:val="auto"/>
          <w:sz w:val="24"/>
          <w:szCs w:val="24"/>
          <w:u w:val="none"/>
          <w:vertAlign w:val="baseline"/>
          <w:lang w:val="en-US" w:eastAsia="zh-CN"/>
        </w:rPr>
        <w:t>，</w:t>
      </w:r>
      <w:r>
        <w:rPr>
          <w:rFonts w:hint="eastAsia" w:eastAsia="宋体"/>
          <w:color w:val="auto"/>
          <w:sz w:val="24"/>
          <w:szCs w:val="24"/>
          <w:u w:val="none"/>
          <w:lang w:val="en-US" w:eastAsia="zh-CN"/>
        </w:rPr>
        <w:t>且设置应急水泵，现有事故应急池满后抽至新建地面应急池，一同分担事故时的废水。</w:t>
      </w:r>
    </w:p>
    <w:p w14:paraId="46E0C061">
      <w:pPr>
        <w:keepNext w:val="0"/>
        <w:keepLines w:val="0"/>
        <w:widowControl/>
        <w:suppressLineNumbers w:val="0"/>
        <w:jc w:val="left"/>
        <w:rPr>
          <w:rFonts w:hint="default" w:ascii="Times New Roman" w:hAnsi="Times New Roman" w:cs="Times New Roman"/>
          <w:color w:val="auto"/>
        </w:rPr>
      </w:pPr>
      <w:r>
        <w:rPr>
          <w:rFonts w:hint="default" w:ascii="Times New Roman" w:hAnsi="Times New Roman" w:eastAsia="宋体" w:cs="Times New Roman"/>
          <w:color w:val="auto"/>
          <w:sz w:val="24"/>
          <w:szCs w:val="24"/>
          <w:u w:val="none"/>
          <w:lang w:val="en-US" w:eastAsia="zh-CN"/>
        </w:rPr>
        <w:t>发生火灾、暴雨、生产废水泄漏、螯合剂罐体破裂时，会产生大量事故应急废水，通过在生产车间周边设置的</w:t>
      </w:r>
      <w:r>
        <w:rPr>
          <w:rFonts w:hint="default" w:ascii="Times New Roman" w:hAnsi="Times New Roman" w:eastAsia="宋体" w:cs="Times New Roman"/>
          <w:color w:val="auto"/>
          <w:sz w:val="24"/>
          <w:szCs w:val="24"/>
          <w:u w:val="none"/>
          <w:lang w:eastAsia="zh-CN"/>
        </w:rPr>
        <w:t>雨水</w:t>
      </w:r>
      <w:r>
        <w:rPr>
          <w:rFonts w:hint="default" w:ascii="Times New Roman" w:hAnsi="Times New Roman" w:eastAsia="宋体" w:cs="Times New Roman"/>
          <w:color w:val="auto"/>
          <w:sz w:val="24"/>
          <w:szCs w:val="24"/>
          <w:u w:val="none"/>
          <w:lang w:val="en-US" w:eastAsia="zh-CN"/>
        </w:rPr>
        <w:t>沟收集，关闭市政管网与厂区管网之间的应急阀门，切断与市政管道间的通入，在厂区将事故废水控制在厂区内部；同时打开事故应急</w:t>
      </w:r>
      <w:r>
        <w:rPr>
          <w:rFonts w:hint="eastAsia" w:cs="Times New Roman"/>
          <w:color w:val="auto"/>
          <w:sz w:val="24"/>
          <w:szCs w:val="24"/>
          <w:u w:val="none"/>
          <w:lang w:val="en-US" w:eastAsia="zh-CN"/>
        </w:rPr>
        <w:t>水泵</w:t>
      </w:r>
      <w:r>
        <w:rPr>
          <w:rFonts w:hint="default" w:ascii="Times New Roman" w:hAnsi="Times New Roman" w:eastAsia="宋体" w:cs="Times New Roman"/>
          <w:color w:val="auto"/>
          <w:sz w:val="24"/>
          <w:szCs w:val="24"/>
          <w:u w:val="none"/>
          <w:lang w:val="en-US" w:eastAsia="zh-CN"/>
        </w:rPr>
        <w:t>，将事故废水引入事</w:t>
      </w:r>
      <w:r>
        <w:rPr>
          <w:rFonts w:hint="default" w:ascii="Times New Roman" w:hAnsi="Times New Roman" w:eastAsia="宋体" w:cs="Times New Roman"/>
          <w:color w:val="auto"/>
          <w:sz w:val="24"/>
          <w:szCs w:val="24"/>
          <w:u w:val="none"/>
          <w:lang w:val="en-US" w:eastAsia="zh-CN"/>
        </w:rPr>
        <w:t>故应急池</w:t>
      </w:r>
      <w:r>
        <w:rPr>
          <w:rFonts w:hint="default" w:ascii="Times New Roman" w:hAnsi="Times New Roman" w:eastAsia="宋体" w:cs="Times New Roman"/>
          <w:color w:val="auto"/>
          <w:sz w:val="24"/>
          <w:szCs w:val="24"/>
          <w:u w:val="none"/>
          <w:lang w:val="en-US" w:eastAsia="zh-CN"/>
        </w:rPr>
        <w:t>进行有效暂存，待情况稳定后分批次按规范处理</w:t>
      </w:r>
      <w:r>
        <w:rPr>
          <w:rFonts w:hint="default" w:ascii="Times New Roman" w:hAnsi="Times New Roman" w:eastAsia="宋体" w:cs="Times New Roman"/>
          <w:snapToGrid w:val="0"/>
          <w:color w:val="auto"/>
          <w:kern w:val="0"/>
          <w:sz w:val="24"/>
          <w:szCs w:val="24"/>
          <w:lang w:val="en-US" w:eastAsia="zh-CN" w:bidi="ar"/>
        </w:rPr>
        <w:t>，不会对厂区外的环境造成明显的影响。</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2"/>
        <w:gridCol w:w="4503"/>
      </w:tblGrid>
      <w:tr w14:paraId="7F9A4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2" w:type="dxa"/>
          </w:tcPr>
          <w:p w14:paraId="31505E37">
            <w:pPr>
              <w:widowControl w:val="0"/>
              <w:bidi w:val="0"/>
              <w:ind w:left="0" w:leftChars="0" w:firstLine="0" w:firstLineChars="0"/>
              <w:rPr>
                <w:rFonts w:hint="default" w:ascii="Times New Roman" w:hAnsi="Times New Roman" w:cs="Times New Roman"/>
                <w:color w:val="auto"/>
                <w:vertAlign w:val="baseline"/>
              </w:rPr>
            </w:pPr>
          </w:p>
        </w:tc>
        <w:tc>
          <w:tcPr>
            <w:tcW w:w="4503" w:type="dxa"/>
          </w:tcPr>
          <w:p w14:paraId="00ABEBD8">
            <w:pPr>
              <w:widowControl w:val="0"/>
              <w:bidi w:val="0"/>
              <w:ind w:left="0" w:leftChars="0" w:firstLine="0" w:firstLineChars="0"/>
              <w:rPr>
                <w:rFonts w:hint="default" w:ascii="Times New Roman" w:hAnsi="Times New Roman" w:cs="Times New Roman"/>
                <w:color w:val="auto"/>
                <w:vertAlign w:val="baseline"/>
              </w:rPr>
            </w:pPr>
          </w:p>
        </w:tc>
      </w:tr>
      <w:tr w14:paraId="29A13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2" w:type="dxa"/>
            <w:shd w:val="clear" w:color="auto" w:fill="auto"/>
            <w:vAlign w:val="top"/>
          </w:tcPr>
          <w:p w14:paraId="6CC461B4">
            <w:pPr>
              <w:pStyle w:val="25"/>
              <w:widowControl w:val="0"/>
              <w:bidi w:val="0"/>
              <w:rPr>
                <w:rFonts w:hint="default" w:ascii="Times New Roman" w:hAnsi="Times New Roman" w:eastAsia="宋体" w:cs="Times New Roman"/>
                <w:b/>
                <w:snapToGrid w:val="0"/>
                <w:color w:val="auto"/>
                <w:kern w:val="0"/>
                <w:szCs w:val="24"/>
                <w:lang w:val="en-US" w:eastAsia="zh-CN" w:bidi="ar-SA"/>
              </w:rPr>
            </w:pPr>
            <w:r>
              <w:rPr>
                <w:rFonts w:hint="default" w:ascii="Times New Roman" w:hAnsi="Times New Roman" w:cs="Times New Roman"/>
                <w:color w:val="auto"/>
              </w:rPr>
              <w:t>图4.</w:t>
            </w:r>
            <w:r>
              <w:rPr>
                <w:rFonts w:hint="eastAsia" w:cs="Times New Roman"/>
                <w:color w:val="auto"/>
                <w:lang w:val="en-US" w:eastAsia="zh-CN"/>
              </w:rPr>
              <w:t>2</w:t>
            </w:r>
            <w:r>
              <w:rPr>
                <w:rFonts w:hint="default" w:ascii="Times New Roman" w:hAnsi="Times New Roman" w:cs="Times New Roman"/>
                <w:color w:val="auto"/>
                <w:lang w:val="en-US" w:eastAsia="zh-CN"/>
              </w:rPr>
              <w:t>-</w:t>
            </w:r>
            <w:r>
              <w:rPr>
                <w:rFonts w:hint="eastAsia" w:cs="Times New Roman"/>
                <w:color w:val="auto"/>
                <w:lang w:val="en-US" w:eastAsia="zh-CN"/>
              </w:rPr>
              <w:t>1</w:t>
            </w:r>
            <w:r>
              <w:rPr>
                <w:rFonts w:hint="default" w:ascii="Times New Roman" w:hAnsi="Times New Roman" w:cs="Times New Roman"/>
                <w:color w:val="auto"/>
                <w:lang w:val="en-US" w:eastAsia="zh-CN"/>
              </w:rPr>
              <w:t xml:space="preserve"> 事故应急池</w:t>
            </w:r>
            <w:r>
              <w:rPr>
                <w:rFonts w:hint="eastAsia" w:cs="Times New Roman"/>
                <w:color w:val="auto"/>
                <w:lang w:val="en-US" w:eastAsia="zh-CN"/>
              </w:rPr>
              <w:t>（地面）</w:t>
            </w:r>
          </w:p>
        </w:tc>
        <w:tc>
          <w:tcPr>
            <w:tcW w:w="4503" w:type="dxa"/>
            <w:shd w:val="clear" w:color="auto" w:fill="auto"/>
            <w:vAlign w:val="top"/>
          </w:tcPr>
          <w:p w14:paraId="0537DD81">
            <w:pPr>
              <w:pStyle w:val="25"/>
              <w:widowControl w:val="0"/>
              <w:bidi w:val="0"/>
              <w:rPr>
                <w:rFonts w:hint="default" w:ascii="Times New Roman" w:hAnsi="Times New Roman" w:cs="Times New Roman"/>
                <w:color w:val="auto"/>
                <w:lang w:val="en-US" w:eastAsia="zh-CN"/>
              </w:rPr>
            </w:pPr>
            <w:r>
              <w:rPr>
                <w:rFonts w:hint="default" w:ascii="Times New Roman" w:hAnsi="Times New Roman" w:cs="Times New Roman"/>
                <w:color w:val="auto"/>
              </w:rPr>
              <w:t>图4.</w:t>
            </w:r>
            <w:r>
              <w:rPr>
                <w:rFonts w:hint="eastAsia" w:cs="Times New Roman"/>
                <w:color w:val="auto"/>
                <w:lang w:val="en-US" w:eastAsia="zh-CN"/>
              </w:rPr>
              <w:t>2</w:t>
            </w:r>
            <w:r>
              <w:rPr>
                <w:rFonts w:hint="default" w:ascii="Times New Roman" w:hAnsi="Times New Roman" w:cs="Times New Roman"/>
                <w:color w:val="auto"/>
                <w:lang w:val="en-US" w:eastAsia="zh-CN"/>
              </w:rPr>
              <w:t>-</w:t>
            </w:r>
            <w:r>
              <w:rPr>
                <w:rFonts w:hint="eastAsia" w:cs="Times New Roman"/>
                <w:color w:val="auto"/>
                <w:lang w:val="en-US" w:eastAsia="zh-CN"/>
              </w:rPr>
              <w:t>2</w:t>
            </w:r>
            <w:r>
              <w:rPr>
                <w:rFonts w:hint="default" w:ascii="Times New Roman" w:hAnsi="Times New Roman" w:cs="Times New Roman"/>
                <w:color w:val="auto"/>
              </w:rPr>
              <w:t xml:space="preserve"> </w:t>
            </w:r>
            <w:r>
              <w:rPr>
                <w:rFonts w:hint="eastAsia" w:cs="Times New Roman"/>
                <w:color w:val="auto"/>
                <w:lang w:val="en-US" w:eastAsia="zh-CN"/>
              </w:rPr>
              <w:t>事故应急池（地下）</w:t>
            </w:r>
          </w:p>
        </w:tc>
      </w:tr>
      <w:tr w14:paraId="2E81F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2" w:type="dxa"/>
            <w:shd w:val="clear" w:color="auto" w:fill="auto"/>
            <w:vAlign w:val="top"/>
          </w:tcPr>
          <w:p w14:paraId="12799546">
            <w:pPr>
              <w:pStyle w:val="25"/>
              <w:widowControl w:val="0"/>
              <w:bidi w:val="0"/>
              <w:rPr>
                <w:rFonts w:hint="default" w:ascii="Times New Roman" w:hAnsi="Times New Roman" w:eastAsia="宋体" w:cs="Times New Roman"/>
                <w:color w:val="auto"/>
                <w:lang w:eastAsia="zh-CN"/>
              </w:rPr>
            </w:pPr>
          </w:p>
        </w:tc>
        <w:tc>
          <w:tcPr>
            <w:tcW w:w="4503" w:type="dxa"/>
            <w:shd w:val="clear" w:color="auto" w:fill="auto"/>
            <w:vAlign w:val="top"/>
          </w:tcPr>
          <w:p w14:paraId="5B8C64EE">
            <w:pPr>
              <w:pStyle w:val="25"/>
              <w:widowControl w:val="0"/>
              <w:bidi w:val="0"/>
              <w:rPr>
                <w:rFonts w:hint="eastAsia" w:ascii="Times New Roman" w:hAnsi="Times New Roman" w:eastAsia="宋体" w:cs="Times New Roman"/>
                <w:color w:val="auto"/>
                <w:lang w:eastAsia="zh-CN"/>
              </w:rPr>
            </w:pPr>
          </w:p>
        </w:tc>
      </w:tr>
      <w:tr w14:paraId="640EB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2" w:type="dxa"/>
            <w:shd w:val="clear" w:color="auto" w:fill="auto"/>
            <w:vAlign w:val="top"/>
          </w:tcPr>
          <w:p w14:paraId="26E62911">
            <w:pPr>
              <w:pStyle w:val="25"/>
              <w:widowControl w:val="0"/>
              <w:bidi w:val="0"/>
              <w:rPr>
                <w:rFonts w:hint="default" w:ascii="Times New Roman" w:hAnsi="Times New Roman" w:eastAsia="宋体" w:cs="Times New Roman"/>
                <w:color w:val="auto"/>
                <w:lang w:eastAsia="zh-CN"/>
              </w:rPr>
            </w:pPr>
            <w:r>
              <w:rPr>
                <w:rFonts w:hint="default" w:ascii="Times New Roman" w:hAnsi="Times New Roman" w:cs="Times New Roman"/>
                <w:color w:val="auto"/>
              </w:rPr>
              <w:t>图4.</w:t>
            </w:r>
            <w:r>
              <w:rPr>
                <w:rFonts w:hint="eastAsia" w:cs="Times New Roman"/>
                <w:color w:val="auto"/>
                <w:lang w:val="en-US" w:eastAsia="zh-CN"/>
              </w:rPr>
              <w:t>2</w:t>
            </w:r>
            <w:r>
              <w:rPr>
                <w:rFonts w:hint="default" w:ascii="Times New Roman" w:hAnsi="Times New Roman" w:cs="Times New Roman"/>
                <w:color w:val="auto"/>
                <w:lang w:val="en-US" w:eastAsia="zh-CN"/>
              </w:rPr>
              <w:t>-</w:t>
            </w:r>
            <w:r>
              <w:rPr>
                <w:rFonts w:hint="eastAsia" w:cs="Times New Roman"/>
                <w:color w:val="auto"/>
                <w:lang w:val="en-US" w:eastAsia="zh-CN"/>
              </w:rPr>
              <w:t>3</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切换阀</w:t>
            </w:r>
          </w:p>
        </w:tc>
        <w:tc>
          <w:tcPr>
            <w:tcW w:w="4503" w:type="dxa"/>
            <w:shd w:val="clear" w:color="auto" w:fill="auto"/>
            <w:vAlign w:val="top"/>
          </w:tcPr>
          <w:p w14:paraId="676B36F3">
            <w:pPr>
              <w:pStyle w:val="25"/>
              <w:widowControl w:val="0"/>
              <w:bidi w:val="0"/>
              <w:rPr>
                <w:rFonts w:hint="default" w:ascii="Times New Roman" w:hAnsi="Times New Roman" w:cs="Times New Roman"/>
                <w:color w:val="auto"/>
                <w:lang w:val="en-US"/>
              </w:rPr>
            </w:pPr>
            <w:r>
              <w:rPr>
                <w:rFonts w:hint="default" w:ascii="Times New Roman" w:hAnsi="Times New Roman" w:cs="Times New Roman"/>
                <w:color w:val="auto"/>
              </w:rPr>
              <w:t>图4.</w:t>
            </w:r>
            <w:r>
              <w:rPr>
                <w:rFonts w:hint="eastAsia" w:cs="Times New Roman"/>
                <w:color w:val="auto"/>
                <w:lang w:val="en-US" w:eastAsia="zh-CN"/>
              </w:rPr>
              <w:t>2</w:t>
            </w:r>
            <w:r>
              <w:rPr>
                <w:rFonts w:hint="default" w:ascii="Times New Roman" w:hAnsi="Times New Roman" w:cs="Times New Roman"/>
                <w:color w:val="auto"/>
                <w:lang w:val="en-US" w:eastAsia="zh-CN"/>
              </w:rPr>
              <w:t>-</w:t>
            </w:r>
            <w:r>
              <w:rPr>
                <w:rFonts w:hint="eastAsia" w:cs="Times New Roman"/>
                <w:color w:val="auto"/>
                <w:lang w:val="en-US" w:eastAsia="zh-CN"/>
              </w:rPr>
              <w:t>4</w:t>
            </w:r>
            <w:r>
              <w:rPr>
                <w:rFonts w:hint="default" w:ascii="Times New Roman" w:hAnsi="Times New Roman" w:cs="Times New Roman"/>
                <w:color w:val="auto"/>
              </w:rPr>
              <w:t xml:space="preserve"> </w:t>
            </w:r>
            <w:r>
              <w:rPr>
                <w:rFonts w:hint="eastAsia" w:ascii="Times New Roman" w:hAnsi="Times New Roman" w:cs="Times New Roman"/>
                <w:color w:val="auto"/>
                <w:lang w:val="en-US" w:eastAsia="zh-CN"/>
              </w:rPr>
              <w:t>螯合剂仓库</w:t>
            </w:r>
          </w:p>
        </w:tc>
      </w:tr>
      <w:tr w14:paraId="5FC59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2" w:type="dxa"/>
            <w:shd w:val="clear" w:color="auto" w:fill="auto"/>
            <w:vAlign w:val="top"/>
          </w:tcPr>
          <w:p w14:paraId="4807992C">
            <w:pPr>
              <w:pStyle w:val="25"/>
              <w:widowControl w:val="0"/>
              <w:bidi w:val="0"/>
              <w:rPr>
                <w:rFonts w:hint="default" w:ascii="Times New Roman" w:hAnsi="Times New Roman" w:cs="Times New Roman"/>
                <w:color w:val="auto"/>
              </w:rPr>
            </w:pPr>
          </w:p>
        </w:tc>
        <w:tc>
          <w:tcPr>
            <w:tcW w:w="4503" w:type="dxa"/>
            <w:shd w:val="clear" w:color="auto" w:fill="auto"/>
            <w:vAlign w:val="top"/>
          </w:tcPr>
          <w:p w14:paraId="12679FDB">
            <w:pPr>
              <w:pStyle w:val="25"/>
              <w:widowControl w:val="0"/>
              <w:bidi w:val="0"/>
              <w:rPr>
                <w:rFonts w:hint="default" w:ascii="Times New Roman" w:hAnsi="Times New Roman" w:cs="Times New Roman"/>
                <w:color w:val="auto"/>
              </w:rPr>
            </w:pPr>
          </w:p>
        </w:tc>
      </w:tr>
      <w:tr w14:paraId="1195E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2" w:type="dxa"/>
            <w:shd w:val="clear" w:color="auto" w:fill="auto"/>
            <w:vAlign w:val="top"/>
          </w:tcPr>
          <w:p w14:paraId="04E9B52B">
            <w:pPr>
              <w:pStyle w:val="25"/>
              <w:widowControl w:val="0"/>
              <w:bidi w:val="0"/>
              <w:rPr>
                <w:rFonts w:hint="default" w:ascii="Times New Roman" w:hAnsi="Times New Roman" w:cs="Times New Roman"/>
                <w:color w:val="auto"/>
                <w:lang w:val="en-US"/>
              </w:rPr>
            </w:pPr>
            <w:r>
              <w:rPr>
                <w:rFonts w:hint="default" w:ascii="Times New Roman" w:hAnsi="Times New Roman" w:cs="Times New Roman"/>
                <w:color w:val="auto"/>
              </w:rPr>
              <w:t>图4.</w:t>
            </w:r>
            <w:r>
              <w:rPr>
                <w:rFonts w:hint="eastAsia" w:cs="Times New Roman"/>
                <w:color w:val="auto"/>
                <w:lang w:val="en-US" w:eastAsia="zh-CN"/>
              </w:rPr>
              <w:t>2</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5</w:t>
            </w:r>
            <w:r>
              <w:rPr>
                <w:rFonts w:hint="default" w:ascii="Times New Roman" w:hAnsi="Times New Roman" w:cs="Times New Roman"/>
                <w:color w:val="auto"/>
              </w:rPr>
              <w:t xml:space="preserve"> </w:t>
            </w:r>
            <w:r>
              <w:rPr>
                <w:rFonts w:hint="eastAsia" w:ascii="Times New Roman" w:hAnsi="Times New Roman" w:cs="Times New Roman"/>
                <w:color w:val="auto"/>
                <w:lang w:val="en-US" w:eastAsia="zh-CN"/>
              </w:rPr>
              <w:t>车间沉淀池</w:t>
            </w:r>
          </w:p>
        </w:tc>
        <w:tc>
          <w:tcPr>
            <w:tcW w:w="4503" w:type="dxa"/>
            <w:shd w:val="clear" w:color="auto" w:fill="auto"/>
            <w:vAlign w:val="top"/>
          </w:tcPr>
          <w:p w14:paraId="0D1D01C2">
            <w:pPr>
              <w:pStyle w:val="25"/>
              <w:widowControl w:val="0"/>
              <w:bidi w:val="0"/>
              <w:rPr>
                <w:rFonts w:hint="default" w:ascii="Times New Roman" w:hAnsi="Times New Roman" w:cs="Times New Roman"/>
                <w:color w:val="auto"/>
              </w:rPr>
            </w:pPr>
          </w:p>
        </w:tc>
      </w:tr>
    </w:tbl>
    <w:p w14:paraId="005B9A89">
      <w:pPr>
        <w:pStyle w:val="4"/>
        <w:bidi w:val="0"/>
        <w:rPr>
          <w:rFonts w:hint="default"/>
          <w:color w:val="auto"/>
        </w:rPr>
      </w:pPr>
      <w:bookmarkStart w:id="36" w:name="_Toc24140"/>
      <w:r>
        <w:rPr>
          <w:rFonts w:hint="default"/>
          <w:color w:val="auto"/>
          <w:lang w:val="en-US" w:eastAsia="zh-CN"/>
        </w:rPr>
        <w:t>4.2.2地下水污染防治措施</w:t>
      </w:r>
      <w:bookmarkEnd w:id="36"/>
    </w:p>
    <w:p w14:paraId="49F1292A">
      <w:pPr>
        <w:bidi w:val="0"/>
        <w:rPr>
          <w:rFonts w:hint="default" w:ascii="Times New Roman" w:hAnsi="Times New Roman" w:eastAsia="宋体" w:cs="Times New Roman"/>
          <w:color w:val="auto"/>
          <w:szCs w:val="24"/>
        </w:rPr>
      </w:pPr>
      <w:r>
        <w:rPr>
          <w:rFonts w:hint="default" w:ascii="Times New Roman" w:hAnsi="Times New Roman" w:eastAsia="宋体" w:cs="Times New Roman"/>
          <w:color w:val="auto"/>
          <w:szCs w:val="24"/>
          <w:lang w:val="en-US" w:eastAsia="zh-CN"/>
        </w:rPr>
        <w:t>本项目主要采取的地下水污染防范措施如下：</w:t>
      </w:r>
    </w:p>
    <w:p w14:paraId="37D008EC">
      <w:pPr>
        <w:bidi w:val="0"/>
        <w:rPr>
          <w:rFonts w:hint="default" w:ascii="Times New Roman" w:hAnsi="Times New Roman" w:eastAsia="宋体" w:cs="Times New Roman"/>
          <w:color w:val="auto"/>
          <w:szCs w:val="24"/>
        </w:rPr>
      </w:pPr>
      <w:r>
        <w:rPr>
          <w:rFonts w:hint="default" w:ascii="Times New Roman" w:hAnsi="Times New Roman" w:eastAsia="宋体" w:cs="Times New Roman"/>
          <w:color w:val="auto"/>
          <w:szCs w:val="24"/>
          <w:lang w:val="en-US" w:eastAsia="zh-CN"/>
        </w:rPr>
        <w:t>（1）危废暂存间墙裙和地面采取防腐漆做防渗处理，做好防渗措施</w:t>
      </w:r>
      <w:r>
        <w:rPr>
          <w:rFonts w:hint="default" w:ascii="Times New Roman" w:hAnsi="Times New Roman" w:cs="Times New Roman"/>
          <w:color w:val="auto"/>
          <w:szCs w:val="24"/>
          <w:lang w:eastAsia="zh-CN"/>
        </w:rPr>
        <w:t>，</w:t>
      </w:r>
      <w:r>
        <w:rPr>
          <w:rFonts w:hint="default" w:ascii="Times New Roman" w:hAnsi="Times New Roman" w:cs="Times New Roman"/>
          <w:color w:val="auto"/>
          <w:highlight w:val="none"/>
        </w:rPr>
        <w:t>危废按照种类分类，分别放置于</w:t>
      </w:r>
      <w:r>
        <w:rPr>
          <w:rFonts w:hint="default" w:ascii="Times New Roman" w:hAnsi="Times New Roman" w:cs="Times New Roman"/>
          <w:color w:val="auto"/>
          <w:highlight w:val="none"/>
          <w:lang w:val="en-US" w:eastAsia="zh-CN"/>
        </w:rPr>
        <w:t>不锈钢托盘</w:t>
      </w:r>
      <w:r>
        <w:rPr>
          <w:rFonts w:hint="default" w:ascii="Times New Roman" w:hAnsi="Times New Roman" w:cs="Times New Roman"/>
          <w:color w:val="auto"/>
          <w:highlight w:val="none"/>
        </w:rPr>
        <w:t>内，收集意外泄露的危废</w:t>
      </w:r>
      <w:r>
        <w:rPr>
          <w:rFonts w:hint="default" w:ascii="Times New Roman" w:hAnsi="Times New Roman" w:eastAsia="宋体" w:cs="Times New Roman"/>
          <w:color w:val="auto"/>
          <w:szCs w:val="24"/>
          <w:lang w:val="en-US" w:eastAsia="zh-CN"/>
        </w:rPr>
        <w:t>。</w:t>
      </w:r>
    </w:p>
    <w:p w14:paraId="2CB93C8A">
      <w:pPr>
        <w:bidi w:val="0"/>
        <w:rPr>
          <w:rFonts w:hint="default" w:ascii="Times New Roman" w:hAnsi="Times New Roman" w:eastAsia="宋体" w:cs="Times New Roman"/>
          <w:color w:val="auto"/>
          <w:szCs w:val="24"/>
        </w:rPr>
      </w:pPr>
      <w:r>
        <w:rPr>
          <w:rFonts w:hint="default" w:ascii="Times New Roman" w:hAnsi="Times New Roman" w:eastAsia="宋体" w:cs="Times New Roman"/>
          <w:color w:val="auto"/>
          <w:szCs w:val="24"/>
          <w:lang w:val="en-US" w:eastAsia="zh-CN"/>
        </w:rPr>
        <w:t>（2）厂区地面硬化，2#厂房、1#养护间、危险废物暂存间</w:t>
      </w:r>
      <w:r>
        <w:rPr>
          <w:rFonts w:hint="default" w:ascii="Times New Roman" w:hAnsi="Times New Roman" w:cs="Times New Roman"/>
          <w:color w:val="auto"/>
          <w:szCs w:val="24"/>
          <w:lang w:val="en-US" w:eastAsia="zh-CN"/>
        </w:rPr>
        <w:t>、生产废水回用收集槽及回用池均</w:t>
      </w:r>
      <w:r>
        <w:rPr>
          <w:rFonts w:hint="default" w:ascii="Times New Roman" w:hAnsi="Times New Roman" w:eastAsia="宋体" w:cs="Times New Roman"/>
          <w:color w:val="auto"/>
          <w:szCs w:val="24"/>
          <w:lang w:val="en-US" w:eastAsia="zh-CN"/>
        </w:rPr>
        <w:t>采</w:t>
      </w:r>
      <w:r>
        <w:rPr>
          <w:rFonts w:hint="default" w:ascii="Times New Roman" w:hAnsi="Times New Roman" w:cs="Times New Roman"/>
          <w:color w:val="auto"/>
        </w:rPr>
        <w:t>水泥基渗透结晶性涂料防水层防渗</w:t>
      </w:r>
      <w:r>
        <w:rPr>
          <w:rFonts w:hint="default" w:ascii="Times New Roman" w:hAnsi="Times New Roman" w:eastAsia="宋体" w:cs="Times New Roman"/>
          <w:color w:val="auto"/>
          <w:szCs w:val="24"/>
          <w:lang w:val="en-US" w:eastAsia="zh-CN"/>
        </w:rPr>
        <w:t>，</w:t>
      </w:r>
      <w:r>
        <w:rPr>
          <w:rFonts w:hint="eastAsia" w:cs="Times New Roman"/>
          <w:color w:val="auto"/>
          <w:szCs w:val="24"/>
          <w:lang w:val="en-US" w:eastAsia="zh-CN"/>
        </w:rPr>
        <w:t>是事故废水</w:t>
      </w:r>
      <w:r>
        <w:rPr>
          <w:rFonts w:hint="default" w:ascii="Times New Roman" w:hAnsi="Times New Roman" w:cs="Times New Roman"/>
          <w:color w:val="auto"/>
          <w:szCs w:val="24"/>
          <w:lang w:val="en-US" w:eastAsia="zh-CN"/>
        </w:rPr>
        <w:t>收集池</w:t>
      </w:r>
      <w:r>
        <w:rPr>
          <w:rFonts w:hint="default" w:ascii="Times New Roman" w:hAnsi="Times New Roman" w:eastAsia="宋体" w:cs="Times New Roman"/>
          <w:color w:val="auto"/>
          <w:szCs w:val="24"/>
          <w:lang w:val="en-US" w:eastAsia="zh-CN"/>
        </w:rPr>
        <w:t>等均采取水泥混凝土防渗措施。</w:t>
      </w:r>
    </w:p>
    <w:p w14:paraId="52A5D1EF">
      <w:pPr>
        <w:pStyle w:val="3"/>
        <w:bidi w:val="0"/>
        <w:rPr>
          <w:rFonts w:hint="default" w:ascii="Times New Roman" w:hAnsi="Times New Roman" w:cs="Times New Roman"/>
          <w:color w:val="auto"/>
        </w:rPr>
      </w:pPr>
      <w:bookmarkStart w:id="37" w:name="_Toc19608"/>
      <w:r>
        <w:rPr>
          <w:rFonts w:hint="default" w:ascii="Times New Roman" w:hAnsi="Times New Roman" w:cs="Times New Roman"/>
          <w:color w:val="auto"/>
        </w:rPr>
        <w:t>4.3环保设施投资及</w:t>
      </w:r>
      <w:r>
        <w:rPr>
          <w:rFonts w:hint="eastAsia" w:ascii="Times New Roman" w:hAnsi="Times New Roman" w:cs="Times New Roman"/>
          <w:color w:val="auto"/>
          <w:lang w:eastAsia="zh-CN"/>
        </w:rPr>
        <w:t>“</w:t>
      </w:r>
      <w:r>
        <w:rPr>
          <w:rFonts w:hint="default" w:ascii="Times New Roman" w:hAnsi="Times New Roman" w:cs="Times New Roman"/>
          <w:color w:val="auto"/>
        </w:rPr>
        <w:t>三同时</w:t>
      </w:r>
      <w:r>
        <w:rPr>
          <w:rFonts w:hint="eastAsia" w:ascii="Times New Roman" w:hAnsi="Times New Roman" w:cs="Times New Roman"/>
          <w:color w:val="auto"/>
          <w:lang w:eastAsia="zh-CN"/>
        </w:rPr>
        <w:t>”</w:t>
      </w:r>
      <w:r>
        <w:rPr>
          <w:rFonts w:hint="default" w:ascii="Times New Roman" w:hAnsi="Times New Roman" w:cs="Times New Roman"/>
          <w:color w:val="auto"/>
        </w:rPr>
        <w:t>落实情况</w:t>
      </w:r>
      <w:bookmarkEnd w:id="37"/>
    </w:p>
    <w:p w14:paraId="375FD8DF">
      <w:pPr>
        <w:pStyle w:val="4"/>
        <w:bidi w:val="0"/>
        <w:rPr>
          <w:rFonts w:hint="default"/>
          <w:color w:val="auto"/>
        </w:rPr>
      </w:pPr>
      <w:bookmarkStart w:id="38" w:name="_Toc1225"/>
      <w:r>
        <w:rPr>
          <w:rFonts w:hint="default"/>
          <w:color w:val="auto"/>
          <w:lang w:val="en-US" w:eastAsia="zh-CN"/>
        </w:rPr>
        <w:t>4.3.1环保设施投资情况</w:t>
      </w:r>
      <w:bookmarkEnd w:id="38"/>
    </w:p>
    <w:p w14:paraId="06DF8D74">
      <w:pPr>
        <w:bidi w:val="0"/>
        <w:rPr>
          <w:rFonts w:hint="default" w:ascii="Times New Roman" w:hAnsi="Times New Roman" w:cs="Times New Roman"/>
          <w:color w:val="auto"/>
        </w:rPr>
      </w:pPr>
      <w:r>
        <w:rPr>
          <w:rFonts w:hint="default" w:ascii="Times New Roman" w:hAnsi="Times New Roman" w:cs="Times New Roman"/>
          <w:color w:val="auto"/>
        </w:rPr>
        <w:t>本项目设计总投资</w:t>
      </w:r>
      <w:r>
        <w:rPr>
          <w:rFonts w:hint="default" w:ascii="Times New Roman" w:hAnsi="Times New Roman" w:cs="Times New Roman"/>
          <w:color w:val="auto"/>
          <w:lang w:val="en-US" w:eastAsia="zh-CN"/>
        </w:rPr>
        <w:t>500</w:t>
      </w:r>
      <w:r>
        <w:rPr>
          <w:rFonts w:hint="default" w:ascii="Times New Roman" w:hAnsi="Times New Roman" w:cs="Times New Roman"/>
          <w:color w:val="auto"/>
        </w:rPr>
        <w:t>万元</w:t>
      </w:r>
      <w:r>
        <w:rPr>
          <w:rFonts w:hint="default" w:ascii="Times New Roman" w:hAnsi="Times New Roman" w:cs="Times New Roman"/>
          <w:color w:val="auto"/>
          <w:lang w:eastAsia="zh-CN"/>
        </w:rPr>
        <w:t>：</w:t>
      </w:r>
      <w:r>
        <w:rPr>
          <w:rFonts w:hint="default" w:ascii="Times New Roman" w:hAnsi="Times New Roman" w:cs="Times New Roman"/>
          <w:color w:val="auto"/>
        </w:rPr>
        <w:t>其中环保投资</w:t>
      </w:r>
      <w:r>
        <w:rPr>
          <w:rFonts w:hint="default" w:ascii="Times New Roman" w:hAnsi="Times New Roman" w:cs="Times New Roman"/>
          <w:color w:val="auto"/>
          <w:lang w:val="en-US" w:eastAsia="zh-CN"/>
        </w:rPr>
        <w:t>60</w:t>
      </w:r>
      <w:r>
        <w:rPr>
          <w:rFonts w:hint="default" w:ascii="Times New Roman" w:hAnsi="Times New Roman" w:cs="Times New Roman"/>
          <w:color w:val="auto"/>
        </w:rPr>
        <w:t>万元</w:t>
      </w:r>
      <w:r>
        <w:rPr>
          <w:rFonts w:hint="default" w:ascii="Times New Roman" w:hAnsi="Times New Roman" w:cs="Times New Roman"/>
          <w:color w:val="auto"/>
          <w:lang w:eastAsia="zh-CN"/>
        </w:rPr>
        <w:t>，</w:t>
      </w:r>
      <w:r>
        <w:rPr>
          <w:rFonts w:hint="default" w:ascii="Times New Roman" w:hAnsi="Times New Roman" w:cs="Times New Roman"/>
          <w:color w:val="auto"/>
        </w:rPr>
        <w:t>占项目总投资的</w:t>
      </w:r>
      <w:r>
        <w:rPr>
          <w:rFonts w:hint="default" w:ascii="Times New Roman" w:hAnsi="Times New Roman" w:cs="Times New Roman"/>
          <w:color w:val="auto"/>
          <w:lang w:val="en-US" w:eastAsia="zh-CN"/>
        </w:rPr>
        <w:t>12</w:t>
      </w:r>
      <w:r>
        <w:rPr>
          <w:rFonts w:hint="default" w:ascii="Times New Roman" w:hAnsi="Times New Roman" w:cs="Times New Roman"/>
          <w:color w:val="auto"/>
        </w:rPr>
        <w:t>%</w:t>
      </w:r>
      <w:r>
        <w:rPr>
          <w:rFonts w:hint="default" w:ascii="Times New Roman" w:hAnsi="Times New Roman" w:cs="Times New Roman"/>
          <w:color w:val="auto"/>
          <w:lang w:val="en-US" w:eastAsia="zh-CN"/>
        </w:rPr>
        <w:t>，</w:t>
      </w:r>
      <w:r>
        <w:rPr>
          <w:rFonts w:hint="default" w:ascii="Times New Roman" w:hAnsi="Times New Roman" w:cs="Times New Roman"/>
          <w:color w:val="auto"/>
        </w:rPr>
        <w:t>目前实际总投资</w:t>
      </w:r>
      <w:r>
        <w:rPr>
          <w:rFonts w:hint="default" w:ascii="Times New Roman" w:hAnsi="Times New Roman" w:cs="Times New Roman"/>
          <w:color w:val="auto"/>
          <w:lang w:val="en-US" w:eastAsia="zh-CN"/>
        </w:rPr>
        <w:t>500万</w:t>
      </w:r>
      <w:r>
        <w:rPr>
          <w:rFonts w:hint="default" w:ascii="Times New Roman" w:hAnsi="Times New Roman" w:cs="Times New Roman"/>
          <w:color w:val="auto"/>
        </w:rPr>
        <w:t>元</w:t>
      </w:r>
      <w:r>
        <w:rPr>
          <w:rFonts w:hint="default" w:ascii="Times New Roman" w:hAnsi="Times New Roman" w:cs="Times New Roman"/>
          <w:color w:val="auto"/>
          <w:lang w:eastAsia="zh-CN"/>
        </w:rPr>
        <w:t>，</w:t>
      </w:r>
      <w:r>
        <w:rPr>
          <w:rFonts w:hint="default" w:ascii="Times New Roman" w:hAnsi="Times New Roman" w:cs="Times New Roman"/>
          <w:color w:val="auto"/>
        </w:rPr>
        <w:t>其中环保投资</w:t>
      </w:r>
      <w:r>
        <w:rPr>
          <w:rFonts w:hint="default" w:ascii="Times New Roman" w:hAnsi="Times New Roman" w:cs="Times New Roman"/>
          <w:color w:val="auto"/>
          <w:lang w:val="en-US" w:eastAsia="zh-CN"/>
        </w:rPr>
        <w:t>40</w:t>
      </w:r>
      <w:r>
        <w:rPr>
          <w:rFonts w:hint="default" w:ascii="Times New Roman" w:hAnsi="Times New Roman" w:cs="Times New Roman"/>
          <w:color w:val="auto"/>
        </w:rPr>
        <w:t>万元</w:t>
      </w:r>
      <w:r>
        <w:rPr>
          <w:rFonts w:hint="default" w:ascii="Times New Roman" w:hAnsi="Times New Roman" w:cs="Times New Roman"/>
          <w:color w:val="auto"/>
          <w:lang w:eastAsia="zh-CN"/>
        </w:rPr>
        <w:t>，</w:t>
      </w:r>
      <w:r>
        <w:rPr>
          <w:rFonts w:hint="default" w:ascii="Times New Roman" w:hAnsi="Times New Roman" w:cs="Times New Roman"/>
          <w:color w:val="auto"/>
        </w:rPr>
        <w:t>占总投资的</w:t>
      </w:r>
      <w:r>
        <w:rPr>
          <w:rFonts w:hint="default" w:ascii="Times New Roman" w:hAnsi="Times New Roman" w:cs="Times New Roman"/>
          <w:color w:val="auto"/>
          <w:lang w:val="en-US" w:eastAsia="zh-CN"/>
        </w:rPr>
        <w:t>8</w:t>
      </w:r>
      <w:r>
        <w:rPr>
          <w:rFonts w:hint="default" w:ascii="Times New Roman" w:hAnsi="Times New Roman" w:cs="Times New Roman"/>
          <w:color w:val="auto"/>
        </w:rPr>
        <w:t>%。具体投资情况如下表4</w:t>
      </w:r>
      <w:r>
        <w:rPr>
          <w:rFonts w:hint="default" w:ascii="Times New Roman" w:hAnsi="Times New Roman" w:cs="Times New Roman"/>
          <w:color w:val="auto"/>
          <w:lang w:val="en-US" w:eastAsia="zh-CN"/>
        </w:rPr>
        <w:t>.</w:t>
      </w:r>
      <w:r>
        <w:rPr>
          <w:rFonts w:hint="eastAsia" w:cs="Times New Roman"/>
          <w:color w:val="auto"/>
          <w:lang w:val="en-US" w:eastAsia="zh-CN"/>
        </w:rPr>
        <w:t>3</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所示。</w:t>
      </w:r>
    </w:p>
    <w:p w14:paraId="1B296FE7">
      <w:pPr>
        <w:pStyle w:val="21"/>
        <w:bidi w:val="0"/>
        <w:rPr>
          <w:rFonts w:hint="default" w:ascii="Times New Roman" w:hAnsi="Times New Roman" w:cs="Times New Roman"/>
          <w:color w:val="auto"/>
        </w:rPr>
      </w:pPr>
      <w:r>
        <w:rPr>
          <w:rFonts w:hint="default" w:ascii="Times New Roman" w:hAnsi="Times New Roman" w:cs="Times New Roman"/>
          <w:color w:val="auto"/>
        </w:rPr>
        <w:t>表4</w:t>
      </w:r>
      <w:r>
        <w:rPr>
          <w:rFonts w:hint="default" w:ascii="Times New Roman" w:hAnsi="Times New Roman" w:cs="Times New Roman"/>
          <w:color w:val="auto"/>
          <w:lang w:val="en-US" w:eastAsia="zh-CN"/>
        </w:rPr>
        <w:t>.</w:t>
      </w:r>
      <w:r>
        <w:rPr>
          <w:rFonts w:hint="eastAsia" w:cs="Times New Roman"/>
          <w:color w:val="auto"/>
          <w:lang w:val="en-US" w:eastAsia="zh-CN"/>
        </w:rPr>
        <w:t>3</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 xml:space="preserve">  环评及批复阶段投资估算与实际投资一览表  单位： 万元</w:t>
      </w:r>
    </w:p>
    <w:tbl>
      <w:tblPr>
        <w:tblStyle w:val="14"/>
        <w:tblW w:w="9071" w:type="dxa"/>
        <w:jc w:val="center"/>
        <w:tblLayout w:type="fixed"/>
        <w:tblCellMar>
          <w:top w:w="0" w:type="dxa"/>
          <w:left w:w="108" w:type="dxa"/>
          <w:bottom w:w="0" w:type="dxa"/>
          <w:right w:w="108" w:type="dxa"/>
        </w:tblCellMar>
      </w:tblPr>
      <w:tblGrid>
        <w:gridCol w:w="530"/>
        <w:gridCol w:w="1127"/>
        <w:gridCol w:w="2978"/>
        <w:gridCol w:w="967"/>
        <w:gridCol w:w="2571"/>
        <w:gridCol w:w="898"/>
      </w:tblGrid>
      <w:tr w14:paraId="22E42DC6">
        <w:tblPrEx>
          <w:tblCellMar>
            <w:top w:w="0" w:type="dxa"/>
            <w:left w:w="108" w:type="dxa"/>
            <w:bottom w:w="0" w:type="dxa"/>
            <w:right w:w="108" w:type="dxa"/>
          </w:tblCellMar>
        </w:tblPrEx>
        <w:trPr>
          <w:trHeight w:val="340" w:hRule="atLeast"/>
          <w:jc w:val="center"/>
        </w:trPr>
        <w:tc>
          <w:tcPr>
            <w:tcW w:w="530" w:type="dxa"/>
            <w:tcBorders>
              <w:top w:val="single" w:color="000000" w:sz="12" w:space="0"/>
              <w:bottom w:val="single" w:color="000000" w:sz="4" w:space="0"/>
              <w:right w:val="single" w:color="000000" w:sz="4" w:space="0"/>
            </w:tcBorders>
            <w:noWrap w:val="0"/>
            <w:vAlign w:val="center"/>
          </w:tcPr>
          <w:p w14:paraId="5BE7AEF1">
            <w:pPr>
              <w:pStyle w:val="23"/>
              <w:bidi w:val="0"/>
              <w:rPr>
                <w:rFonts w:hint="default" w:ascii="Times New Roman" w:hAnsi="Times New Roman" w:cs="Times New Roman"/>
                <w:color w:val="auto"/>
              </w:rPr>
            </w:pPr>
            <w:r>
              <w:rPr>
                <w:rFonts w:hint="default" w:ascii="Times New Roman" w:hAnsi="Times New Roman" w:cs="Times New Roman"/>
                <w:color w:val="auto"/>
              </w:rPr>
              <w:t>序号</w:t>
            </w:r>
          </w:p>
        </w:tc>
        <w:tc>
          <w:tcPr>
            <w:tcW w:w="1127" w:type="dxa"/>
            <w:tcBorders>
              <w:top w:val="single" w:color="000000" w:sz="12" w:space="0"/>
              <w:left w:val="single" w:color="000000" w:sz="4" w:space="0"/>
              <w:bottom w:val="single" w:color="000000" w:sz="4" w:space="0"/>
              <w:right w:val="single" w:color="000000" w:sz="4" w:space="0"/>
            </w:tcBorders>
            <w:noWrap w:val="0"/>
            <w:vAlign w:val="center"/>
          </w:tcPr>
          <w:p w14:paraId="5E46F4CF">
            <w:pPr>
              <w:pStyle w:val="23"/>
              <w:bidi w:val="0"/>
              <w:rPr>
                <w:rFonts w:hint="default" w:ascii="Times New Roman" w:hAnsi="Times New Roman" w:cs="Times New Roman"/>
                <w:color w:val="auto"/>
              </w:rPr>
            </w:pPr>
            <w:r>
              <w:rPr>
                <w:rFonts w:hint="default" w:ascii="Times New Roman" w:hAnsi="Times New Roman" w:cs="Times New Roman"/>
                <w:color w:val="auto"/>
              </w:rPr>
              <w:t>类别</w:t>
            </w:r>
          </w:p>
        </w:tc>
        <w:tc>
          <w:tcPr>
            <w:tcW w:w="2978" w:type="dxa"/>
            <w:tcBorders>
              <w:top w:val="single" w:color="000000" w:sz="12" w:space="0"/>
              <w:left w:val="single" w:color="000000" w:sz="4" w:space="0"/>
              <w:bottom w:val="single" w:color="000000" w:sz="4" w:space="0"/>
              <w:right w:val="single" w:color="000000" w:sz="4" w:space="0"/>
            </w:tcBorders>
            <w:noWrap w:val="0"/>
            <w:vAlign w:val="center"/>
          </w:tcPr>
          <w:p w14:paraId="1EF9DF20">
            <w:pPr>
              <w:pStyle w:val="23"/>
              <w:bidi w:val="0"/>
              <w:rPr>
                <w:rFonts w:hint="default" w:ascii="Times New Roman" w:hAnsi="Times New Roman" w:cs="Times New Roman"/>
                <w:color w:val="auto"/>
              </w:rPr>
            </w:pPr>
            <w:r>
              <w:rPr>
                <w:rFonts w:hint="default" w:ascii="Times New Roman" w:hAnsi="Times New Roman" w:cs="Times New Roman"/>
                <w:color w:val="auto"/>
              </w:rPr>
              <w:t>环保设施名称</w:t>
            </w:r>
          </w:p>
        </w:tc>
        <w:tc>
          <w:tcPr>
            <w:tcW w:w="967" w:type="dxa"/>
            <w:tcBorders>
              <w:top w:val="single" w:color="000000" w:sz="12" w:space="0"/>
              <w:left w:val="single" w:color="000000" w:sz="4" w:space="0"/>
              <w:bottom w:val="single" w:color="000000" w:sz="4" w:space="0"/>
            </w:tcBorders>
            <w:noWrap w:val="0"/>
            <w:vAlign w:val="center"/>
          </w:tcPr>
          <w:p w14:paraId="3FC7DC85">
            <w:pPr>
              <w:pStyle w:val="23"/>
              <w:bidi w:val="0"/>
              <w:rPr>
                <w:rFonts w:hint="default" w:ascii="Times New Roman" w:hAnsi="Times New Roman" w:cs="Times New Roman"/>
                <w:color w:val="auto"/>
              </w:rPr>
            </w:pPr>
            <w:r>
              <w:rPr>
                <w:rFonts w:hint="default" w:ascii="Times New Roman" w:hAnsi="Times New Roman" w:cs="Times New Roman"/>
                <w:color w:val="auto"/>
              </w:rPr>
              <w:t>环评投资万元</w:t>
            </w:r>
          </w:p>
        </w:tc>
        <w:tc>
          <w:tcPr>
            <w:tcW w:w="2571" w:type="dxa"/>
            <w:tcBorders>
              <w:top w:val="single" w:color="000000" w:sz="12" w:space="0"/>
              <w:left w:val="single" w:color="000000" w:sz="4" w:space="0"/>
              <w:bottom w:val="single" w:color="000000" w:sz="4" w:space="0"/>
            </w:tcBorders>
            <w:noWrap w:val="0"/>
            <w:vAlign w:val="center"/>
          </w:tcPr>
          <w:p w14:paraId="04DE0A18">
            <w:pPr>
              <w:pStyle w:val="23"/>
              <w:bidi w:val="0"/>
              <w:rPr>
                <w:rFonts w:hint="default" w:ascii="Times New Roman" w:hAnsi="Times New Roman" w:cs="Times New Roman"/>
                <w:color w:val="auto"/>
              </w:rPr>
            </w:pPr>
            <w:r>
              <w:rPr>
                <w:rFonts w:hint="default" w:ascii="Times New Roman" w:hAnsi="Times New Roman" w:cs="Times New Roman"/>
                <w:color w:val="auto"/>
              </w:rPr>
              <w:t>实际建设内容</w:t>
            </w:r>
          </w:p>
        </w:tc>
        <w:tc>
          <w:tcPr>
            <w:tcW w:w="898" w:type="dxa"/>
            <w:tcBorders>
              <w:top w:val="single" w:color="000000" w:sz="12" w:space="0"/>
              <w:left w:val="single" w:color="000000" w:sz="4" w:space="0"/>
              <w:bottom w:val="single" w:color="000000" w:sz="4" w:space="0"/>
            </w:tcBorders>
            <w:noWrap w:val="0"/>
            <w:vAlign w:val="center"/>
          </w:tcPr>
          <w:p w14:paraId="1D8BD5AE">
            <w:pPr>
              <w:pStyle w:val="23"/>
              <w:bidi w:val="0"/>
              <w:rPr>
                <w:rFonts w:hint="default" w:ascii="Times New Roman" w:hAnsi="Times New Roman" w:cs="Times New Roman"/>
                <w:color w:val="auto"/>
              </w:rPr>
            </w:pPr>
            <w:r>
              <w:rPr>
                <w:rFonts w:hint="default" w:ascii="Times New Roman" w:hAnsi="Times New Roman" w:cs="Times New Roman"/>
                <w:color w:val="auto"/>
              </w:rPr>
              <w:t>实际投资万元</w:t>
            </w:r>
          </w:p>
        </w:tc>
      </w:tr>
      <w:tr w14:paraId="10AA5325">
        <w:tblPrEx>
          <w:tblCellMar>
            <w:top w:w="0" w:type="dxa"/>
            <w:left w:w="108" w:type="dxa"/>
            <w:bottom w:w="0" w:type="dxa"/>
            <w:right w:w="108" w:type="dxa"/>
          </w:tblCellMar>
        </w:tblPrEx>
        <w:trPr>
          <w:trHeight w:val="340" w:hRule="atLeast"/>
          <w:jc w:val="center"/>
        </w:trPr>
        <w:tc>
          <w:tcPr>
            <w:tcW w:w="530" w:type="dxa"/>
            <w:tcBorders>
              <w:top w:val="single" w:color="000000" w:sz="4" w:space="0"/>
              <w:bottom w:val="single" w:color="000000" w:sz="4" w:space="0"/>
              <w:right w:val="single" w:color="000000" w:sz="4" w:space="0"/>
            </w:tcBorders>
            <w:noWrap w:val="0"/>
            <w:vAlign w:val="center"/>
          </w:tcPr>
          <w:p w14:paraId="3FC207B4">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1127" w:type="dxa"/>
            <w:tcBorders>
              <w:top w:val="single" w:color="000000" w:sz="4" w:space="0"/>
              <w:left w:val="single" w:color="000000" w:sz="4" w:space="0"/>
              <w:bottom w:val="single" w:color="000000" w:sz="4" w:space="0"/>
              <w:right w:val="single" w:color="000000" w:sz="4" w:space="0"/>
            </w:tcBorders>
            <w:noWrap w:val="0"/>
            <w:vAlign w:val="center"/>
          </w:tcPr>
          <w:p w14:paraId="5ADAA0FD">
            <w:pPr>
              <w:pStyle w:val="23"/>
              <w:bidi w:val="0"/>
              <w:rPr>
                <w:rFonts w:hint="default" w:ascii="Times New Roman" w:hAnsi="Times New Roman" w:cs="Times New Roman"/>
                <w:color w:val="auto"/>
              </w:rPr>
            </w:pPr>
            <w:r>
              <w:rPr>
                <w:rFonts w:hint="default" w:ascii="Times New Roman" w:hAnsi="Times New Roman" w:cs="Times New Roman"/>
                <w:color w:val="auto"/>
              </w:rPr>
              <w:t>废气</w:t>
            </w:r>
          </w:p>
        </w:tc>
        <w:tc>
          <w:tcPr>
            <w:tcW w:w="2978" w:type="dxa"/>
            <w:tcBorders>
              <w:top w:val="single" w:color="000000" w:sz="4" w:space="0"/>
              <w:left w:val="single" w:color="000000" w:sz="4" w:space="0"/>
              <w:bottom w:val="single" w:color="000000" w:sz="4" w:space="0"/>
              <w:right w:val="single" w:color="000000" w:sz="4" w:space="0"/>
            </w:tcBorders>
            <w:noWrap w:val="0"/>
            <w:vAlign w:val="center"/>
          </w:tcPr>
          <w:p w14:paraId="2B4227AB">
            <w:pPr>
              <w:pStyle w:val="23"/>
              <w:bidi w:val="0"/>
              <w:rPr>
                <w:rFonts w:hint="default" w:ascii="Times New Roman" w:hAnsi="Times New Roman" w:cs="Times New Roman"/>
                <w:color w:val="auto"/>
              </w:rPr>
            </w:pPr>
            <w:r>
              <w:rPr>
                <w:rFonts w:hint="default" w:ascii="Times New Roman" w:hAnsi="Times New Roman" w:cs="Times New Roman"/>
                <w:color w:val="auto"/>
              </w:rPr>
              <w:t>布袋除尘、排气管道</w:t>
            </w:r>
          </w:p>
        </w:tc>
        <w:tc>
          <w:tcPr>
            <w:tcW w:w="967" w:type="dxa"/>
            <w:tcBorders>
              <w:top w:val="single" w:color="000000" w:sz="4" w:space="0"/>
              <w:left w:val="single" w:color="000000" w:sz="4" w:space="0"/>
              <w:bottom w:val="single" w:color="000000" w:sz="4" w:space="0"/>
            </w:tcBorders>
            <w:noWrap w:val="0"/>
            <w:vAlign w:val="center"/>
          </w:tcPr>
          <w:p w14:paraId="7698A5F1">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16</w:t>
            </w:r>
          </w:p>
        </w:tc>
        <w:tc>
          <w:tcPr>
            <w:tcW w:w="2571" w:type="dxa"/>
            <w:tcBorders>
              <w:top w:val="single" w:color="000000" w:sz="4" w:space="0"/>
              <w:left w:val="single" w:color="000000" w:sz="4" w:space="0"/>
              <w:bottom w:val="single" w:color="000000" w:sz="4" w:space="0"/>
            </w:tcBorders>
            <w:noWrap w:val="0"/>
            <w:vAlign w:val="center"/>
          </w:tcPr>
          <w:p w14:paraId="5BE3D9FB">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布袋除尘、排气管道</w:t>
            </w:r>
          </w:p>
        </w:tc>
        <w:tc>
          <w:tcPr>
            <w:tcW w:w="898" w:type="dxa"/>
            <w:tcBorders>
              <w:top w:val="single" w:color="000000" w:sz="4" w:space="0"/>
              <w:left w:val="single" w:color="000000" w:sz="4" w:space="0"/>
              <w:bottom w:val="single" w:color="000000" w:sz="4" w:space="0"/>
            </w:tcBorders>
            <w:noWrap w:val="0"/>
            <w:vAlign w:val="center"/>
          </w:tcPr>
          <w:p w14:paraId="265875EE">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16</w:t>
            </w:r>
          </w:p>
        </w:tc>
      </w:tr>
      <w:tr w14:paraId="3EF5142D">
        <w:tblPrEx>
          <w:tblCellMar>
            <w:top w:w="0" w:type="dxa"/>
            <w:left w:w="108" w:type="dxa"/>
            <w:bottom w:w="0" w:type="dxa"/>
            <w:right w:w="108" w:type="dxa"/>
          </w:tblCellMar>
        </w:tblPrEx>
        <w:trPr>
          <w:trHeight w:val="340" w:hRule="atLeast"/>
          <w:jc w:val="center"/>
        </w:trPr>
        <w:tc>
          <w:tcPr>
            <w:tcW w:w="530" w:type="dxa"/>
            <w:tcBorders>
              <w:top w:val="single" w:color="000000" w:sz="4" w:space="0"/>
              <w:bottom w:val="single" w:color="000000" w:sz="4" w:space="0"/>
              <w:right w:val="single" w:color="000000" w:sz="4" w:space="0"/>
            </w:tcBorders>
            <w:noWrap w:val="0"/>
            <w:vAlign w:val="center"/>
          </w:tcPr>
          <w:p w14:paraId="6433823C">
            <w:pPr>
              <w:pStyle w:val="23"/>
              <w:bidi w:val="0"/>
              <w:rPr>
                <w:rFonts w:hint="default" w:ascii="Times New Roman" w:hAnsi="Times New Roman" w:cs="Times New Roman"/>
                <w:color w:val="auto"/>
              </w:rPr>
            </w:pPr>
            <w:r>
              <w:rPr>
                <w:rFonts w:hint="default" w:ascii="Times New Roman" w:hAnsi="Times New Roman" w:cs="Times New Roman"/>
                <w:color w:val="auto"/>
              </w:rPr>
              <w:t>2</w:t>
            </w:r>
          </w:p>
        </w:tc>
        <w:tc>
          <w:tcPr>
            <w:tcW w:w="1127" w:type="dxa"/>
            <w:vMerge w:val="restart"/>
            <w:tcBorders>
              <w:top w:val="single" w:color="000000" w:sz="4" w:space="0"/>
              <w:left w:val="single" w:color="000000" w:sz="4" w:space="0"/>
              <w:bottom w:val="single" w:color="000000" w:sz="4" w:space="0"/>
              <w:right w:val="single" w:color="000000" w:sz="4" w:space="0"/>
            </w:tcBorders>
            <w:noWrap w:val="0"/>
            <w:vAlign w:val="center"/>
          </w:tcPr>
          <w:p w14:paraId="4DBBFDD1">
            <w:pPr>
              <w:pStyle w:val="23"/>
              <w:bidi w:val="0"/>
              <w:rPr>
                <w:rFonts w:hint="default" w:ascii="Times New Roman" w:hAnsi="Times New Roman" w:cs="Times New Roman"/>
                <w:color w:val="auto"/>
              </w:rPr>
            </w:pPr>
            <w:r>
              <w:rPr>
                <w:rFonts w:hint="default" w:ascii="Times New Roman" w:hAnsi="Times New Roman" w:cs="Times New Roman"/>
                <w:color w:val="auto"/>
              </w:rPr>
              <w:t>废水</w:t>
            </w:r>
          </w:p>
        </w:tc>
        <w:tc>
          <w:tcPr>
            <w:tcW w:w="2978" w:type="dxa"/>
            <w:tcBorders>
              <w:top w:val="single" w:color="000000" w:sz="4" w:space="0"/>
              <w:left w:val="single" w:color="000000" w:sz="4" w:space="0"/>
              <w:bottom w:val="single" w:color="000000" w:sz="4" w:space="0"/>
              <w:right w:val="single" w:color="000000" w:sz="4" w:space="0"/>
            </w:tcBorders>
            <w:noWrap w:val="0"/>
            <w:vAlign w:val="center"/>
          </w:tcPr>
          <w:p w14:paraId="5AA0372A">
            <w:pPr>
              <w:pStyle w:val="23"/>
              <w:bidi w:val="0"/>
              <w:rPr>
                <w:rFonts w:hint="default" w:ascii="Times New Roman" w:hAnsi="Times New Roman" w:cs="Times New Roman"/>
                <w:color w:val="auto"/>
              </w:rPr>
            </w:pPr>
            <w:r>
              <w:rPr>
                <w:rFonts w:hint="default" w:ascii="Times New Roman" w:hAnsi="Times New Roman" w:cs="Times New Roman"/>
                <w:color w:val="auto"/>
              </w:rPr>
              <w:t>生活污水依托现有工程化粪池</w:t>
            </w:r>
          </w:p>
        </w:tc>
        <w:tc>
          <w:tcPr>
            <w:tcW w:w="967" w:type="dxa"/>
            <w:tcBorders>
              <w:top w:val="single" w:color="000000" w:sz="4" w:space="0"/>
              <w:left w:val="single" w:color="000000" w:sz="4" w:space="0"/>
              <w:bottom w:val="single" w:color="000000" w:sz="4" w:space="0"/>
            </w:tcBorders>
            <w:noWrap w:val="0"/>
            <w:vAlign w:val="center"/>
          </w:tcPr>
          <w:p w14:paraId="30441B69">
            <w:pPr>
              <w:pStyle w:val="23"/>
              <w:bidi w:val="0"/>
              <w:rPr>
                <w:rFonts w:hint="default" w:ascii="Times New Roman" w:hAnsi="Times New Roman" w:cs="Times New Roman"/>
                <w:color w:val="auto"/>
              </w:rPr>
            </w:pPr>
            <w:r>
              <w:rPr>
                <w:rFonts w:hint="default" w:ascii="Times New Roman" w:hAnsi="Times New Roman" w:cs="Times New Roman"/>
                <w:color w:val="auto"/>
              </w:rPr>
              <w:t>/</w:t>
            </w:r>
          </w:p>
        </w:tc>
        <w:tc>
          <w:tcPr>
            <w:tcW w:w="2571" w:type="dxa"/>
            <w:tcBorders>
              <w:top w:val="single" w:color="000000" w:sz="4" w:space="0"/>
              <w:left w:val="single" w:color="000000" w:sz="4" w:space="0"/>
              <w:bottom w:val="single" w:color="000000" w:sz="4" w:space="0"/>
            </w:tcBorders>
            <w:noWrap w:val="0"/>
            <w:vAlign w:val="center"/>
          </w:tcPr>
          <w:p w14:paraId="446ECD14">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w:t>
            </w:r>
          </w:p>
        </w:tc>
        <w:tc>
          <w:tcPr>
            <w:tcW w:w="898" w:type="dxa"/>
            <w:tcBorders>
              <w:top w:val="single" w:color="000000" w:sz="4" w:space="0"/>
              <w:left w:val="single" w:color="000000" w:sz="4" w:space="0"/>
              <w:bottom w:val="single" w:color="000000" w:sz="4" w:space="0"/>
            </w:tcBorders>
            <w:noWrap w:val="0"/>
            <w:vAlign w:val="center"/>
          </w:tcPr>
          <w:p w14:paraId="316DC4A7">
            <w:pPr>
              <w:pStyle w:val="23"/>
              <w:bidi w:val="0"/>
              <w:rPr>
                <w:rFonts w:hint="default" w:ascii="Times New Roman" w:hAnsi="Times New Roman" w:cs="Times New Roman"/>
                <w:color w:val="auto"/>
              </w:rPr>
            </w:pPr>
            <w:r>
              <w:rPr>
                <w:rFonts w:hint="default" w:ascii="Times New Roman" w:hAnsi="Times New Roman" w:cs="Times New Roman"/>
                <w:color w:val="auto"/>
              </w:rPr>
              <w:t>/</w:t>
            </w:r>
          </w:p>
        </w:tc>
      </w:tr>
      <w:tr w14:paraId="00695B40">
        <w:tblPrEx>
          <w:tblCellMar>
            <w:top w:w="0" w:type="dxa"/>
            <w:left w:w="108" w:type="dxa"/>
            <w:bottom w:w="0" w:type="dxa"/>
            <w:right w:w="108" w:type="dxa"/>
          </w:tblCellMar>
        </w:tblPrEx>
        <w:trPr>
          <w:trHeight w:val="340" w:hRule="atLeast"/>
          <w:jc w:val="center"/>
        </w:trPr>
        <w:tc>
          <w:tcPr>
            <w:tcW w:w="530" w:type="dxa"/>
            <w:tcBorders>
              <w:top w:val="single" w:color="000000" w:sz="4" w:space="0"/>
              <w:bottom w:val="single" w:color="000000" w:sz="4" w:space="0"/>
              <w:right w:val="single" w:color="000000" w:sz="4" w:space="0"/>
            </w:tcBorders>
            <w:noWrap w:val="0"/>
            <w:vAlign w:val="center"/>
          </w:tcPr>
          <w:p w14:paraId="1C8F3BB6">
            <w:pPr>
              <w:pStyle w:val="23"/>
              <w:bidi w:val="0"/>
              <w:rPr>
                <w:rFonts w:hint="default" w:ascii="Times New Roman" w:hAnsi="Times New Roman" w:cs="Times New Roman"/>
                <w:color w:val="auto"/>
              </w:rPr>
            </w:pPr>
            <w:r>
              <w:rPr>
                <w:rFonts w:hint="default" w:ascii="Times New Roman" w:hAnsi="Times New Roman" w:cs="Times New Roman"/>
                <w:color w:val="auto"/>
              </w:rPr>
              <w:t>3</w:t>
            </w:r>
          </w:p>
        </w:tc>
        <w:tc>
          <w:tcPr>
            <w:tcW w:w="11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7E3DA0">
            <w:pPr>
              <w:pStyle w:val="23"/>
              <w:bidi w:val="0"/>
              <w:rPr>
                <w:rFonts w:hint="default" w:ascii="Times New Roman" w:hAnsi="Times New Roman" w:cs="Times New Roman"/>
                <w:color w:val="auto"/>
              </w:rPr>
            </w:pPr>
          </w:p>
        </w:tc>
        <w:tc>
          <w:tcPr>
            <w:tcW w:w="2978" w:type="dxa"/>
            <w:tcBorders>
              <w:top w:val="single" w:color="000000" w:sz="4" w:space="0"/>
              <w:left w:val="single" w:color="000000" w:sz="4" w:space="0"/>
              <w:bottom w:val="single" w:color="000000" w:sz="4" w:space="0"/>
              <w:right w:val="single" w:color="000000" w:sz="4" w:space="0"/>
            </w:tcBorders>
            <w:noWrap w:val="0"/>
            <w:vAlign w:val="center"/>
          </w:tcPr>
          <w:p w14:paraId="10BC2921">
            <w:pPr>
              <w:pStyle w:val="23"/>
              <w:bidi w:val="0"/>
              <w:rPr>
                <w:rFonts w:hint="default" w:ascii="Times New Roman" w:hAnsi="Times New Roman" w:cs="Times New Roman"/>
                <w:color w:val="auto"/>
                <w:lang w:eastAsia="zh-CN"/>
              </w:rPr>
            </w:pPr>
            <w:r>
              <w:rPr>
                <w:rFonts w:hint="default" w:ascii="Times New Roman" w:hAnsi="Times New Roman" w:cs="Times New Roman"/>
                <w:color w:val="auto"/>
              </w:rPr>
              <w:t>生产废水依托现有工程生产废水回用收集槽</w:t>
            </w:r>
            <w:r>
              <w:rPr>
                <w:rFonts w:hint="default" w:ascii="Times New Roman" w:hAnsi="Times New Roman" w:cs="Times New Roman"/>
                <w:color w:val="auto"/>
                <w:lang w:val="en-US" w:eastAsia="zh-CN"/>
              </w:rPr>
              <w:t>及回用池</w:t>
            </w:r>
            <w:r>
              <w:rPr>
                <w:rFonts w:hint="default" w:ascii="Times New Roman" w:hAnsi="Times New Roman" w:cs="Times New Roman"/>
                <w:color w:val="auto"/>
              </w:rPr>
              <w:t>、专门废水回收罐</w:t>
            </w:r>
          </w:p>
        </w:tc>
        <w:tc>
          <w:tcPr>
            <w:tcW w:w="967" w:type="dxa"/>
            <w:tcBorders>
              <w:top w:val="single" w:color="000000" w:sz="4" w:space="0"/>
              <w:left w:val="single" w:color="000000" w:sz="4" w:space="0"/>
              <w:bottom w:val="single" w:color="000000" w:sz="4" w:space="0"/>
            </w:tcBorders>
            <w:noWrap w:val="0"/>
            <w:vAlign w:val="center"/>
          </w:tcPr>
          <w:p w14:paraId="35C16DE2">
            <w:pPr>
              <w:pStyle w:val="23"/>
              <w:bidi w:val="0"/>
              <w:rPr>
                <w:rFonts w:hint="default" w:ascii="Times New Roman" w:hAnsi="Times New Roman" w:cs="Times New Roman"/>
                <w:color w:val="auto"/>
              </w:rPr>
            </w:pPr>
            <w:r>
              <w:rPr>
                <w:rFonts w:hint="default" w:ascii="Times New Roman" w:hAnsi="Times New Roman" w:cs="Times New Roman"/>
                <w:color w:val="auto"/>
              </w:rPr>
              <w:t>/</w:t>
            </w:r>
          </w:p>
        </w:tc>
        <w:tc>
          <w:tcPr>
            <w:tcW w:w="2571" w:type="dxa"/>
            <w:tcBorders>
              <w:top w:val="single" w:color="000000" w:sz="4" w:space="0"/>
              <w:left w:val="single" w:color="000000" w:sz="4" w:space="0"/>
              <w:bottom w:val="single" w:color="000000" w:sz="4" w:space="0"/>
            </w:tcBorders>
            <w:noWrap w:val="0"/>
            <w:vAlign w:val="center"/>
          </w:tcPr>
          <w:p w14:paraId="436501CD">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rPr>
              <w:t>/</w:t>
            </w:r>
          </w:p>
        </w:tc>
        <w:tc>
          <w:tcPr>
            <w:tcW w:w="898" w:type="dxa"/>
            <w:tcBorders>
              <w:top w:val="single" w:color="000000" w:sz="4" w:space="0"/>
              <w:left w:val="single" w:color="000000" w:sz="4" w:space="0"/>
              <w:bottom w:val="single" w:color="000000" w:sz="4" w:space="0"/>
            </w:tcBorders>
            <w:noWrap w:val="0"/>
            <w:vAlign w:val="center"/>
          </w:tcPr>
          <w:p w14:paraId="3D62E260">
            <w:pPr>
              <w:pStyle w:val="23"/>
              <w:bidi w:val="0"/>
              <w:rPr>
                <w:rFonts w:hint="default" w:ascii="Times New Roman" w:hAnsi="Times New Roman" w:cs="Times New Roman"/>
                <w:color w:val="auto"/>
              </w:rPr>
            </w:pPr>
            <w:r>
              <w:rPr>
                <w:rFonts w:hint="default" w:ascii="Times New Roman" w:hAnsi="Times New Roman" w:cs="Times New Roman"/>
                <w:color w:val="auto"/>
              </w:rPr>
              <w:t>/</w:t>
            </w:r>
          </w:p>
        </w:tc>
      </w:tr>
      <w:tr w14:paraId="3D7A3907">
        <w:tblPrEx>
          <w:tblCellMar>
            <w:top w:w="0" w:type="dxa"/>
            <w:left w:w="108" w:type="dxa"/>
            <w:bottom w:w="0" w:type="dxa"/>
            <w:right w:w="108" w:type="dxa"/>
          </w:tblCellMar>
        </w:tblPrEx>
        <w:trPr>
          <w:trHeight w:val="340" w:hRule="atLeast"/>
          <w:jc w:val="center"/>
        </w:trPr>
        <w:tc>
          <w:tcPr>
            <w:tcW w:w="530" w:type="dxa"/>
            <w:tcBorders>
              <w:top w:val="single" w:color="000000" w:sz="4" w:space="0"/>
              <w:bottom w:val="single" w:color="000000" w:sz="4" w:space="0"/>
              <w:right w:val="single" w:color="000000" w:sz="4" w:space="0"/>
            </w:tcBorders>
            <w:noWrap w:val="0"/>
            <w:vAlign w:val="center"/>
          </w:tcPr>
          <w:p w14:paraId="368E34A9">
            <w:pPr>
              <w:pStyle w:val="23"/>
              <w:bidi w:val="0"/>
              <w:rPr>
                <w:rFonts w:hint="default" w:ascii="Times New Roman" w:hAnsi="Times New Roman" w:cs="Times New Roman"/>
                <w:color w:val="auto"/>
              </w:rPr>
            </w:pPr>
            <w:r>
              <w:rPr>
                <w:rFonts w:hint="default" w:ascii="Times New Roman" w:hAnsi="Times New Roman" w:cs="Times New Roman"/>
                <w:color w:val="auto"/>
              </w:rPr>
              <w:t>4</w:t>
            </w:r>
          </w:p>
        </w:tc>
        <w:tc>
          <w:tcPr>
            <w:tcW w:w="1127" w:type="dxa"/>
            <w:tcBorders>
              <w:top w:val="single" w:color="000000" w:sz="4" w:space="0"/>
              <w:left w:val="single" w:color="000000" w:sz="4" w:space="0"/>
              <w:bottom w:val="single" w:color="000000" w:sz="4" w:space="0"/>
              <w:right w:val="single" w:color="000000" w:sz="4" w:space="0"/>
            </w:tcBorders>
            <w:noWrap w:val="0"/>
            <w:vAlign w:val="center"/>
          </w:tcPr>
          <w:p w14:paraId="50151A0A">
            <w:pPr>
              <w:pStyle w:val="23"/>
              <w:bidi w:val="0"/>
              <w:rPr>
                <w:rFonts w:hint="default" w:ascii="Times New Roman" w:hAnsi="Times New Roman" w:cs="Times New Roman"/>
                <w:color w:val="auto"/>
              </w:rPr>
            </w:pPr>
            <w:r>
              <w:rPr>
                <w:rFonts w:hint="default" w:ascii="Times New Roman" w:hAnsi="Times New Roman" w:cs="Times New Roman"/>
                <w:color w:val="auto"/>
              </w:rPr>
              <w:t>地下水、土壤</w:t>
            </w:r>
          </w:p>
        </w:tc>
        <w:tc>
          <w:tcPr>
            <w:tcW w:w="2978" w:type="dxa"/>
            <w:tcBorders>
              <w:top w:val="single" w:color="000000" w:sz="4" w:space="0"/>
              <w:left w:val="single" w:color="000000" w:sz="4" w:space="0"/>
              <w:bottom w:val="single" w:color="000000" w:sz="4" w:space="0"/>
              <w:right w:val="single" w:color="000000" w:sz="4" w:space="0"/>
            </w:tcBorders>
            <w:noWrap w:val="0"/>
            <w:vAlign w:val="center"/>
          </w:tcPr>
          <w:p w14:paraId="131E78CF">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按规范重新地面进行硬化、防腐防渗处理</w:t>
            </w:r>
          </w:p>
        </w:tc>
        <w:tc>
          <w:tcPr>
            <w:tcW w:w="967" w:type="dxa"/>
            <w:tcBorders>
              <w:top w:val="single" w:color="000000" w:sz="4" w:space="0"/>
              <w:left w:val="single" w:color="000000" w:sz="4" w:space="0"/>
              <w:bottom w:val="single" w:color="000000" w:sz="4" w:space="0"/>
            </w:tcBorders>
            <w:noWrap w:val="0"/>
            <w:vAlign w:val="center"/>
          </w:tcPr>
          <w:p w14:paraId="34632A15">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c>
          <w:tcPr>
            <w:tcW w:w="2571" w:type="dxa"/>
            <w:tcBorders>
              <w:top w:val="single" w:color="000000" w:sz="4" w:space="0"/>
              <w:left w:val="single" w:color="000000" w:sz="4" w:space="0"/>
              <w:bottom w:val="single" w:color="000000" w:sz="4" w:space="0"/>
            </w:tcBorders>
            <w:noWrap w:val="0"/>
            <w:vAlign w:val="center"/>
          </w:tcPr>
          <w:p w14:paraId="30ED860E">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rPr>
              <w:t>/</w:t>
            </w:r>
          </w:p>
        </w:tc>
        <w:tc>
          <w:tcPr>
            <w:tcW w:w="898" w:type="dxa"/>
            <w:tcBorders>
              <w:top w:val="single" w:color="000000" w:sz="4" w:space="0"/>
              <w:left w:val="single" w:color="000000" w:sz="4" w:space="0"/>
              <w:bottom w:val="single" w:color="000000" w:sz="4" w:space="0"/>
            </w:tcBorders>
            <w:noWrap w:val="0"/>
            <w:vAlign w:val="center"/>
          </w:tcPr>
          <w:p w14:paraId="2CB3ED79">
            <w:pPr>
              <w:pStyle w:val="23"/>
              <w:bidi w:val="0"/>
              <w:rPr>
                <w:rFonts w:hint="default" w:ascii="Times New Roman" w:hAnsi="Times New Roman" w:cs="Times New Roman"/>
                <w:color w:val="auto"/>
                <w:lang w:eastAsia="zh-CN"/>
              </w:rPr>
            </w:pPr>
            <w:r>
              <w:rPr>
                <w:rFonts w:hint="default" w:ascii="Times New Roman" w:hAnsi="Times New Roman" w:cs="Times New Roman"/>
                <w:color w:val="auto"/>
              </w:rPr>
              <w:t>/</w:t>
            </w:r>
          </w:p>
        </w:tc>
      </w:tr>
      <w:tr w14:paraId="29682D80">
        <w:tblPrEx>
          <w:tblCellMar>
            <w:top w:w="0" w:type="dxa"/>
            <w:left w:w="108" w:type="dxa"/>
            <w:bottom w:w="0" w:type="dxa"/>
            <w:right w:w="108" w:type="dxa"/>
          </w:tblCellMar>
        </w:tblPrEx>
        <w:trPr>
          <w:trHeight w:val="340" w:hRule="atLeast"/>
          <w:jc w:val="center"/>
        </w:trPr>
        <w:tc>
          <w:tcPr>
            <w:tcW w:w="530" w:type="dxa"/>
            <w:tcBorders>
              <w:top w:val="single" w:color="000000" w:sz="4" w:space="0"/>
              <w:bottom w:val="single" w:color="000000" w:sz="4" w:space="0"/>
              <w:right w:val="single" w:color="000000" w:sz="4" w:space="0"/>
            </w:tcBorders>
            <w:noWrap w:val="0"/>
            <w:vAlign w:val="center"/>
          </w:tcPr>
          <w:p w14:paraId="063F34C8">
            <w:pPr>
              <w:pStyle w:val="23"/>
              <w:bidi w:val="0"/>
              <w:rPr>
                <w:rFonts w:hint="default" w:ascii="Times New Roman" w:hAnsi="Times New Roman" w:cs="Times New Roman"/>
                <w:color w:val="auto"/>
              </w:rPr>
            </w:pPr>
            <w:r>
              <w:rPr>
                <w:rFonts w:hint="default" w:ascii="Times New Roman" w:hAnsi="Times New Roman" w:cs="Times New Roman"/>
                <w:color w:val="auto"/>
              </w:rPr>
              <w:t>5</w:t>
            </w:r>
          </w:p>
        </w:tc>
        <w:tc>
          <w:tcPr>
            <w:tcW w:w="1127" w:type="dxa"/>
            <w:tcBorders>
              <w:top w:val="single" w:color="000000" w:sz="4" w:space="0"/>
              <w:left w:val="single" w:color="000000" w:sz="4" w:space="0"/>
              <w:bottom w:val="single" w:color="000000" w:sz="4" w:space="0"/>
              <w:right w:val="single" w:color="000000" w:sz="4" w:space="0"/>
            </w:tcBorders>
            <w:noWrap w:val="0"/>
            <w:vAlign w:val="center"/>
          </w:tcPr>
          <w:p w14:paraId="4D4EE548">
            <w:pPr>
              <w:pStyle w:val="23"/>
              <w:bidi w:val="0"/>
              <w:rPr>
                <w:rFonts w:hint="default" w:ascii="Times New Roman" w:hAnsi="Times New Roman" w:cs="Times New Roman"/>
                <w:color w:val="auto"/>
              </w:rPr>
            </w:pPr>
            <w:r>
              <w:rPr>
                <w:rFonts w:hint="default" w:ascii="Times New Roman" w:hAnsi="Times New Roman" w:cs="Times New Roman"/>
                <w:color w:val="auto"/>
              </w:rPr>
              <w:t>噪声</w:t>
            </w:r>
          </w:p>
        </w:tc>
        <w:tc>
          <w:tcPr>
            <w:tcW w:w="2978" w:type="dxa"/>
            <w:tcBorders>
              <w:top w:val="single" w:color="000000" w:sz="4" w:space="0"/>
              <w:left w:val="single" w:color="000000" w:sz="4" w:space="0"/>
              <w:bottom w:val="single" w:color="000000" w:sz="4" w:space="0"/>
              <w:right w:val="single" w:color="000000" w:sz="4" w:space="0"/>
            </w:tcBorders>
            <w:noWrap w:val="0"/>
            <w:vAlign w:val="center"/>
          </w:tcPr>
          <w:p w14:paraId="2622E1AE">
            <w:pPr>
              <w:pStyle w:val="23"/>
              <w:bidi w:val="0"/>
              <w:rPr>
                <w:rFonts w:hint="default" w:ascii="Times New Roman" w:hAnsi="Times New Roman" w:cs="Times New Roman"/>
                <w:color w:val="auto"/>
              </w:rPr>
            </w:pPr>
            <w:r>
              <w:rPr>
                <w:rFonts w:hint="default" w:ascii="Times New Roman" w:hAnsi="Times New Roman" w:cs="Times New Roman"/>
                <w:color w:val="auto"/>
              </w:rPr>
              <w:t>隔声降噪、消声器等</w:t>
            </w:r>
          </w:p>
        </w:tc>
        <w:tc>
          <w:tcPr>
            <w:tcW w:w="967" w:type="dxa"/>
            <w:tcBorders>
              <w:top w:val="single" w:color="000000" w:sz="4" w:space="0"/>
              <w:left w:val="single" w:color="000000" w:sz="4" w:space="0"/>
              <w:bottom w:val="single" w:color="000000" w:sz="4" w:space="0"/>
            </w:tcBorders>
            <w:noWrap w:val="0"/>
            <w:vAlign w:val="center"/>
          </w:tcPr>
          <w:p w14:paraId="31C6BF9F">
            <w:pPr>
              <w:pStyle w:val="23"/>
              <w:bidi w:val="0"/>
              <w:rPr>
                <w:rFonts w:hint="default" w:ascii="Times New Roman" w:hAnsi="Times New Roman" w:cs="Times New Roman"/>
                <w:color w:val="auto"/>
              </w:rPr>
            </w:pPr>
            <w:r>
              <w:rPr>
                <w:rFonts w:hint="default" w:ascii="Times New Roman" w:hAnsi="Times New Roman" w:cs="Times New Roman"/>
                <w:color w:val="auto"/>
              </w:rPr>
              <w:t>5</w:t>
            </w:r>
          </w:p>
        </w:tc>
        <w:tc>
          <w:tcPr>
            <w:tcW w:w="2571" w:type="dxa"/>
            <w:tcBorders>
              <w:top w:val="single" w:color="000000" w:sz="4" w:space="0"/>
              <w:left w:val="single" w:color="000000" w:sz="4" w:space="0"/>
              <w:bottom w:val="single" w:color="000000" w:sz="4" w:space="0"/>
            </w:tcBorders>
            <w:noWrap w:val="0"/>
            <w:vAlign w:val="center"/>
          </w:tcPr>
          <w:p w14:paraId="0529A21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隔声降噪、消声器等</w:t>
            </w:r>
          </w:p>
        </w:tc>
        <w:tc>
          <w:tcPr>
            <w:tcW w:w="898" w:type="dxa"/>
            <w:tcBorders>
              <w:top w:val="single" w:color="000000" w:sz="4" w:space="0"/>
              <w:left w:val="single" w:color="000000" w:sz="4" w:space="0"/>
              <w:bottom w:val="single" w:color="000000" w:sz="4" w:space="0"/>
            </w:tcBorders>
            <w:noWrap w:val="0"/>
            <w:vAlign w:val="center"/>
          </w:tcPr>
          <w:p w14:paraId="3CE0C6B1">
            <w:pPr>
              <w:pStyle w:val="23"/>
              <w:bidi w:val="0"/>
              <w:rPr>
                <w:rFonts w:hint="default" w:ascii="Times New Roman" w:hAnsi="Times New Roman" w:cs="Times New Roman"/>
                <w:color w:val="auto"/>
              </w:rPr>
            </w:pPr>
            <w:r>
              <w:rPr>
                <w:rFonts w:hint="default" w:ascii="Times New Roman" w:hAnsi="Times New Roman" w:cs="Times New Roman"/>
                <w:color w:val="auto"/>
              </w:rPr>
              <w:t>5</w:t>
            </w:r>
          </w:p>
        </w:tc>
      </w:tr>
      <w:tr w14:paraId="3BA071E7">
        <w:tblPrEx>
          <w:tblCellMar>
            <w:top w:w="0" w:type="dxa"/>
            <w:left w:w="108" w:type="dxa"/>
            <w:bottom w:w="0" w:type="dxa"/>
            <w:right w:w="108" w:type="dxa"/>
          </w:tblCellMar>
        </w:tblPrEx>
        <w:trPr>
          <w:trHeight w:val="340" w:hRule="atLeast"/>
          <w:jc w:val="center"/>
        </w:trPr>
        <w:tc>
          <w:tcPr>
            <w:tcW w:w="530" w:type="dxa"/>
            <w:tcBorders>
              <w:top w:val="single" w:color="000000" w:sz="4" w:space="0"/>
              <w:bottom w:val="single" w:color="000000" w:sz="4" w:space="0"/>
              <w:right w:val="single" w:color="000000" w:sz="4" w:space="0"/>
            </w:tcBorders>
            <w:noWrap w:val="0"/>
            <w:vAlign w:val="center"/>
          </w:tcPr>
          <w:p w14:paraId="756D8103">
            <w:pPr>
              <w:pStyle w:val="23"/>
              <w:bidi w:val="0"/>
              <w:rPr>
                <w:rFonts w:hint="default" w:ascii="Times New Roman" w:hAnsi="Times New Roman" w:cs="Times New Roman"/>
                <w:color w:val="auto"/>
              </w:rPr>
            </w:pPr>
            <w:r>
              <w:rPr>
                <w:rFonts w:hint="default" w:ascii="Times New Roman" w:hAnsi="Times New Roman" w:cs="Times New Roman"/>
                <w:color w:val="auto"/>
              </w:rPr>
              <w:t>6</w:t>
            </w:r>
          </w:p>
        </w:tc>
        <w:tc>
          <w:tcPr>
            <w:tcW w:w="1127" w:type="dxa"/>
            <w:tcBorders>
              <w:top w:val="single" w:color="000000" w:sz="4" w:space="0"/>
              <w:left w:val="single" w:color="000000" w:sz="4" w:space="0"/>
              <w:bottom w:val="single" w:color="000000" w:sz="4" w:space="0"/>
              <w:right w:val="single" w:color="000000" w:sz="4" w:space="0"/>
            </w:tcBorders>
            <w:noWrap w:val="0"/>
            <w:vAlign w:val="center"/>
          </w:tcPr>
          <w:p w14:paraId="7F3C6224">
            <w:pPr>
              <w:pStyle w:val="23"/>
              <w:bidi w:val="0"/>
              <w:rPr>
                <w:rFonts w:hint="default" w:ascii="Times New Roman" w:hAnsi="Times New Roman" w:cs="Times New Roman"/>
                <w:color w:val="auto"/>
              </w:rPr>
            </w:pPr>
            <w:r>
              <w:rPr>
                <w:rFonts w:hint="default" w:ascii="Times New Roman" w:hAnsi="Times New Roman" w:cs="Times New Roman"/>
                <w:color w:val="auto"/>
              </w:rPr>
              <w:t>固体废物</w:t>
            </w:r>
          </w:p>
        </w:tc>
        <w:tc>
          <w:tcPr>
            <w:tcW w:w="2978" w:type="dxa"/>
            <w:tcBorders>
              <w:top w:val="single" w:color="000000" w:sz="4" w:space="0"/>
              <w:left w:val="single" w:color="000000" w:sz="4" w:space="0"/>
              <w:bottom w:val="single" w:color="000000" w:sz="4" w:space="0"/>
              <w:right w:val="single" w:color="000000" w:sz="4" w:space="0"/>
            </w:tcBorders>
            <w:noWrap w:val="0"/>
            <w:vAlign w:val="center"/>
          </w:tcPr>
          <w:p w14:paraId="7BE76807">
            <w:pPr>
              <w:pStyle w:val="23"/>
              <w:bidi w:val="0"/>
              <w:rPr>
                <w:rFonts w:hint="default" w:ascii="Times New Roman" w:hAnsi="Times New Roman" w:cs="Times New Roman"/>
                <w:color w:val="auto"/>
              </w:rPr>
            </w:pPr>
            <w:r>
              <w:rPr>
                <w:rFonts w:hint="default" w:ascii="Times New Roman" w:hAnsi="Times New Roman" w:cs="Times New Roman"/>
                <w:color w:val="auto"/>
              </w:rPr>
              <w:t>生活垃圾依托现有工程并增设垃圾桶；危险废物委托有资质的单位外运；布袋除尘器收集的粉尘集中收集回用于生产</w:t>
            </w:r>
          </w:p>
        </w:tc>
        <w:tc>
          <w:tcPr>
            <w:tcW w:w="967" w:type="dxa"/>
            <w:tcBorders>
              <w:top w:val="single" w:color="000000" w:sz="4" w:space="0"/>
              <w:left w:val="single" w:color="000000" w:sz="4" w:space="0"/>
              <w:bottom w:val="single" w:color="000000" w:sz="4" w:space="0"/>
            </w:tcBorders>
            <w:noWrap w:val="0"/>
            <w:vAlign w:val="center"/>
          </w:tcPr>
          <w:p w14:paraId="1B16B712">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4</w:t>
            </w:r>
          </w:p>
        </w:tc>
        <w:tc>
          <w:tcPr>
            <w:tcW w:w="2571" w:type="dxa"/>
            <w:tcBorders>
              <w:top w:val="single" w:color="000000" w:sz="4" w:space="0"/>
              <w:left w:val="single" w:color="000000" w:sz="4" w:space="0"/>
              <w:bottom w:val="single" w:color="000000" w:sz="4" w:space="0"/>
            </w:tcBorders>
            <w:noWrap w:val="0"/>
            <w:vAlign w:val="center"/>
          </w:tcPr>
          <w:p w14:paraId="5D409867">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生活垃圾依托现有工程并增设垃圾桶；危险废物委托有资质的单位外运；布袋除尘器收集的粉尘集中收集回用于生产</w:t>
            </w:r>
          </w:p>
        </w:tc>
        <w:tc>
          <w:tcPr>
            <w:tcW w:w="898" w:type="dxa"/>
            <w:tcBorders>
              <w:top w:val="single" w:color="000000" w:sz="4" w:space="0"/>
              <w:left w:val="single" w:color="000000" w:sz="4" w:space="0"/>
              <w:bottom w:val="single" w:color="000000" w:sz="4" w:space="0"/>
            </w:tcBorders>
            <w:noWrap w:val="0"/>
            <w:vAlign w:val="center"/>
          </w:tcPr>
          <w:p w14:paraId="24D7FFA1">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4</w:t>
            </w:r>
          </w:p>
        </w:tc>
      </w:tr>
      <w:tr w14:paraId="448F47A8">
        <w:tblPrEx>
          <w:tblCellMar>
            <w:top w:w="0" w:type="dxa"/>
            <w:left w:w="108" w:type="dxa"/>
            <w:bottom w:w="0" w:type="dxa"/>
            <w:right w:w="108" w:type="dxa"/>
          </w:tblCellMar>
        </w:tblPrEx>
        <w:trPr>
          <w:trHeight w:val="340" w:hRule="atLeast"/>
          <w:jc w:val="center"/>
        </w:trPr>
        <w:tc>
          <w:tcPr>
            <w:tcW w:w="530" w:type="dxa"/>
            <w:tcBorders>
              <w:top w:val="single" w:color="000000" w:sz="4" w:space="0"/>
              <w:bottom w:val="single" w:color="000000" w:sz="4" w:space="0"/>
              <w:right w:val="single" w:color="000000" w:sz="4" w:space="0"/>
            </w:tcBorders>
            <w:noWrap w:val="0"/>
            <w:vAlign w:val="center"/>
          </w:tcPr>
          <w:p w14:paraId="2ED757FC">
            <w:pPr>
              <w:pStyle w:val="23"/>
              <w:bidi w:val="0"/>
              <w:rPr>
                <w:rFonts w:hint="default" w:ascii="Times New Roman" w:hAnsi="Times New Roman" w:cs="Times New Roman"/>
                <w:color w:val="auto"/>
              </w:rPr>
            </w:pPr>
            <w:r>
              <w:rPr>
                <w:rFonts w:hint="default" w:ascii="Times New Roman" w:hAnsi="Times New Roman" w:cs="Times New Roman"/>
                <w:color w:val="auto"/>
              </w:rPr>
              <w:t>7</w:t>
            </w:r>
          </w:p>
        </w:tc>
        <w:tc>
          <w:tcPr>
            <w:tcW w:w="1127" w:type="dxa"/>
            <w:tcBorders>
              <w:top w:val="single" w:color="000000" w:sz="4" w:space="0"/>
              <w:left w:val="single" w:color="000000" w:sz="4" w:space="0"/>
              <w:bottom w:val="single" w:color="000000" w:sz="4" w:space="0"/>
              <w:right w:val="single" w:color="000000" w:sz="4" w:space="0"/>
            </w:tcBorders>
            <w:noWrap w:val="0"/>
            <w:vAlign w:val="center"/>
          </w:tcPr>
          <w:p w14:paraId="0A89BD8C">
            <w:pPr>
              <w:pStyle w:val="23"/>
              <w:bidi w:val="0"/>
              <w:rPr>
                <w:rFonts w:hint="default" w:ascii="Times New Roman" w:hAnsi="Times New Roman" w:cs="Times New Roman"/>
                <w:color w:val="auto"/>
              </w:rPr>
            </w:pPr>
            <w:r>
              <w:rPr>
                <w:rFonts w:hint="default" w:ascii="Times New Roman" w:hAnsi="Times New Roman" w:cs="Times New Roman"/>
                <w:color w:val="auto"/>
              </w:rPr>
              <w:t>事故应急池</w:t>
            </w:r>
          </w:p>
        </w:tc>
        <w:tc>
          <w:tcPr>
            <w:tcW w:w="2978" w:type="dxa"/>
            <w:tcBorders>
              <w:top w:val="single" w:color="000000" w:sz="4" w:space="0"/>
              <w:left w:val="single" w:color="000000" w:sz="4" w:space="0"/>
              <w:bottom w:val="single" w:color="000000" w:sz="4" w:space="0"/>
              <w:right w:val="single" w:color="000000" w:sz="4" w:space="0"/>
            </w:tcBorders>
            <w:noWrap w:val="0"/>
            <w:vAlign w:val="center"/>
          </w:tcPr>
          <w:p w14:paraId="7098998A">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rPr>
              <w:t>依托现有工程的100m³事故应急池，并新建应急池</w:t>
            </w:r>
            <w:r>
              <w:rPr>
                <w:rFonts w:hint="default" w:ascii="Times New Roman" w:hAnsi="Times New Roman" w:cs="Times New Roman"/>
                <w:color w:val="auto"/>
                <w:lang w:val="en-US" w:eastAsia="zh-CN"/>
              </w:rPr>
              <w:t>277m³</w:t>
            </w:r>
            <w:r>
              <w:rPr>
                <w:rFonts w:hint="default" w:ascii="Times New Roman" w:hAnsi="Times New Roman" w:cs="Times New Roman"/>
                <w:color w:val="auto"/>
              </w:rPr>
              <w:t>；安装雨污管网应急切换装置</w:t>
            </w:r>
          </w:p>
        </w:tc>
        <w:tc>
          <w:tcPr>
            <w:tcW w:w="967" w:type="dxa"/>
            <w:tcBorders>
              <w:top w:val="single" w:color="000000" w:sz="4" w:space="0"/>
              <w:left w:val="single" w:color="000000" w:sz="4" w:space="0"/>
              <w:bottom w:val="single" w:color="auto" w:sz="4" w:space="0"/>
            </w:tcBorders>
            <w:noWrap w:val="0"/>
            <w:vAlign w:val="center"/>
          </w:tcPr>
          <w:p w14:paraId="7F1BE2A1">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w:t>
            </w:r>
          </w:p>
        </w:tc>
        <w:tc>
          <w:tcPr>
            <w:tcW w:w="2571" w:type="dxa"/>
            <w:tcBorders>
              <w:top w:val="single" w:color="000000" w:sz="4" w:space="0"/>
              <w:left w:val="single" w:color="000000" w:sz="4" w:space="0"/>
              <w:bottom w:val="single" w:color="auto" w:sz="4" w:space="0"/>
            </w:tcBorders>
            <w:noWrap w:val="0"/>
            <w:vAlign w:val="center"/>
          </w:tcPr>
          <w:p w14:paraId="0D03370F">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rPr>
              <w:t>并新建应急池</w:t>
            </w:r>
            <w:r>
              <w:rPr>
                <w:rFonts w:hint="default" w:ascii="Times New Roman" w:hAnsi="Times New Roman" w:cs="Times New Roman"/>
                <w:color w:val="auto"/>
                <w:lang w:val="en-US" w:eastAsia="zh-CN"/>
              </w:rPr>
              <w:t>100m³</w:t>
            </w:r>
            <w:r>
              <w:rPr>
                <w:rFonts w:hint="eastAsia" w:cs="Times New Roman"/>
                <w:color w:val="auto"/>
                <w:lang w:val="en-US" w:eastAsia="zh-CN"/>
              </w:rPr>
              <w:t>，配备应急水泵</w:t>
            </w:r>
            <w:r>
              <w:rPr>
                <w:rFonts w:hint="eastAsia" w:ascii="Times New Roman" w:hAnsi="Times New Roman" w:cs="Times New Roman"/>
                <w:color w:val="auto"/>
                <w:lang w:eastAsia="zh-CN"/>
              </w:rPr>
              <w:t>，</w:t>
            </w:r>
            <w:r>
              <w:rPr>
                <w:rFonts w:hint="default" w:ascii="Times New Roman" w:hAnsi="Times New Roman" w:cs="Times New Roman"/>
                <w:color w:val="auto"/>
              </w:rPr>
              <w:t>安装雨污管网应急切换装置</w:t>
            </w:r>
          </w:p>
        </w:tc>
        <w:tc>
          <w:tcPr>
            <w:tcW w:w="898" w:type="dxa"/>
            <w:tcBorders>
              <w:top w:val="single" w:color="000000" w:sz="4" w:space="0"/>
              <w:left w:val="single" w:color="000000" w:sz="4" w:space="0"/>
              <w:bottom w:val="single" w:color="auto" w:sz="4" w:space="0"/>
            </w:tcBorders>
            <w:noWrap w:val="0"/>
            <w:vAlign w:val="center"/>
          </w:tcPr>
          <w:p w14:paraId="55AF7C06">
            <w:pPr>
              <w:pStyle w:val="23"/>
              <w:bidi w:val="0"/>
              <w:rPr>
                <w:rFonts w:hint="default" w:ascii="Times New Roman" w:hAnsi="Times New Roman" w:cs="Times New Roman"/>
                <w:color w:val="auto"/>
                <w:lang w:val="en-US" w:eastAsia="zh-CN"/>
              </w:rPr>
            </w:pPr>
            <w:r>
              <w:rPr>
                <w:rFonts w:hint="eastAsia" w:cs="Times New Roman"/>
                <w:color w:val="auto"/>
                <w:lang w:val="en-US" w:eastAsia="zh-CN"/>
              </w:rPr>
              <w:t>10</w:t>
            </w:r>
          </w:p>
        </w:tc>
      </w:tr>
      <w:tr w14:paraId="7D06F1F4">
        <w:tblPrEx>
          <w:tblCellMar>
            <w:top w:w="0" w:type="dxa"/>
            <w:left w:w="108" w:type="dxa"/>
            <w:bottom w:w="0" w:type="dxa"/>
            <w:right w:w="108" w:type="dxa"/>
          </w:tblCellMar>
        </w:tblPrEx>
        <w:trPr>
          <w:trHeight w:val="340" w:hRule="atLeast"/>
          <w:jc w:val="center"/>
        </w:trPr>
        <w:tc>
          <w:tcPr>
            <w:tcW w:w="530" w:type="dxa"/>
            <w:tcBorders>
              <w:top w:val="single" w:color="000000" w:sz="4" w:space="0"/>
              <w:bottom w:val="single" w:color="000000" w:sz="4" w:space="0"/>
              <w:right w:val="single" w:color="000000" w:sz="4" w:space="0"/>
            </w:tcBorders>
            <w:noWrap w:val="0"/>
            <w:vAlign w:val="center"/>
          </w:tcPr>
          <w:p w14:paraId="2FF5FFBA">
            <w:pPr>
              <w:pStyle w:val="23"/>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8</w:t>
            </w:r>
          </w:p>
        </w:tc>
        <w:tc>
          <w:tcPr>
            <w:tcW w:w="1127" w:type="dxa"/>
            <w:tcBorders>
              <w:top w:val="single" w:color="000000" w:sz="4" w:space="0"/>
              <w:left w:val="single" w:color="000000" w:sz="4" w:space="0"/>
              <w:bottom w:val="single" w:color="000000" w:sz="4" w:space="0"/>
              <w:right w:val="single" w:color="000000" w:sz="4" w:space="0"/>
            </w:tcBorders>
            <w:noWrap w:val="0"/>
            <w:vAlign w:val="center"/>
          </w:tcPr>
          <w:p w14:paraId="453AB4B1">
            <w:pPr>
              <w:pStyle w:val="23"/>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初期雨水收集池</w:t>
            </w:r>
          </w:p>
        </w:tc>
        <w:tc>
          <w:tcPr>
            <w:tcW w:w="2978" w:type="dxa"/>
            <w:tcBorders>
              <w:top w:val="single" w:color="000000" w:sz="4" w:space="0"/>
              <w:left w:val="single" w:color="000000" w:sz="4" w:space="0"/>
              <w:bottom w:val="single" w:color="000000" w:sz="4" w:space="0"/>
              <w:right w:val="single" w:color="000000" w:sz="4" w:space="0"/>
            </w:tcBorders>
            <w:noWrap w:val="0"/>
            <w:vAlign w:val="center"/>
          </w:tcPr>
          <w:p w14:paraId="41CE6884">
            <w:pPr>
              <w:pStyle w:val="23"/>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新建初期雨水收集池230m³</w:t>
            </w:r>
          </w:p>
        </w:tc>
        <w:tc>
          <w:tcPr>
            <w:tcW w:w="967" w:type="dxa"/>
            <w:tcBorders>
              <w:top w:val="single" w:color="auto" w:sz="4" w:space="0"/>
              <w:left w:val="single" w:color="000000" w:sz="4" w:space="0"/>
              <w:bottom w:val="single" w:color="000000" w:sz="4" w:space="0"/>
            </w:tcBorders>
            <w:noWrap w:val="0"/>
            <w:vAlign w:val="center"/>
          </w:tcPr>
          <w:p w14:paraId="5463DB7D">
            <w:pPr>
              <w:pStyle w:val="23"/>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10</w:t>
            </w:r>
          </w:p>
        </w:tc>
        <w:tc>
          <w:tcPr>
            <w:tcW w:w="2571" w:type="dxa"/>
            <w:tcBorders>
              <w:top w:val="single" w:color="auto" w:sz="4" w:space="0"/>
              <w:left w:val="single" w:color="000000" w:sz="4" w:space="0"/>
              <w:bottom w:val="single" w:color="000000" w:sz="4" w:space="0"/>
            </w:tcBorders>
            <w:noWrap w:val="0"/>
            <w:vAlign w:val="center"/>
          </w:tcPr>
          <w:p w14:paraId="6DA96666">
            <w:pPr>
              <w:pStyle w:val="23"/>
              <w:bidi w:val="0"/>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w:t>
            </w:r>
          </w:p>
        </w:tc>
        <w:tc>
          <w:tcPr>
            <w:tcW w:w="898" w:type="dxa"/>
            <w:tcBorders>
              <w:top w:val="single" w:color="auto" w:sz="4" w:space="0"/>
              <w:left w:val="single" w:color="000000" w:sz="4" w:space="0"/>
              <w:bottom w:val="single" w:color="000000" w:sz="4" w:space="0"/>
            </w:tcBorders>
            <w:noWrap w:val="0"/>
            <w:vAlign w:val="center"/>
          </w:tcPr>
          <w:p w14:paraId="3526FA41">
            <w:pPr>
              <w:pStyle w:val="23"/>
              <w:bidi w:val="0"/>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w:t>
            </w:r>
          </w:p>
        </w:tc>
      </w:tr>
      <w:tr w14:paraId="7A7BDA2F">
        <w:tblPrEx>
          <w:tblCellMar>
            <w:top w:w="0" w:type="dxa"/>
            <w:left w:w="108" w:type="dxa"/>
            <w:bottom w:w="0" w:type="dxa"/>
            <w:right w:w="108" w:type="dxa"/>
          </w:tblCellMar>
        </w:tblPrEx>
        <w:trPr>
          <w:trHeight w:val="340" w:hRule="atLeast"/>
          <w:jc w:val="center"/>
        </w:trPr>
        <w:tc>
          <w:tcPr>
            <w:tcW w:w="530" w:type="dxa"/>
            <w:tcBorders>
              <w:top w:val="single" w:color="000000" w:sz="4" w:space="0"/>
              <w:bottom w:val="single" w:color="000000" w:sz="4" w:space="0"/>
              <w:right w:val="single" w:color="000000" w:sz="4" w:space="0"/>
            </w:tcBorders>
            <w:noWrap w:val="0"/>
            <w:vAlign w:val="center"/>
          </w:tcPr>
          <w:p w14:paraId="5A9B8BA9">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w:t>
            </w:r>
          </w:p>
        </w:tc>
        <w:tc>
          <w:tcPr>
            <w:tcW w:w="1127" w:type="dxa"/>
            <w:tcBorders>
              <w:top w:val="single" w:color="000000" w:sz="4" w:space="0"/>
              <w:left w:val="single" w:color="000000" w:sz="4" w:space="0"/>
              <w:bottom w:val="single" w:color="000000" w:sz="4" w:space="0"/>
              <w:right w:val="single" w:color="000000" w:sz="4" w:space="0"/>
            </w:tcBorders>
            <w:noWrap w:val="0"/>
            <w:vAlign w:val="center"/>
          </w:tcPr>
          <w:p w14:paraId="007995B9">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厂区整改</w:t>
            </w:r>
          </w:p>
        </w:tc>
        <w:tc>
          <w:tcPr>
            <w:tcW w:w="2978" w:type="dxa"/>
            <w:tcBorders>
              <w:top w:val="single" w:color="000000" w:sz="4" w:space="0"/>
              <w:left w:val="single" w:color="000000" w:sz="4" w:space="0"/>
              <w:bottom w:val="single" w:color="000000" w:sz="4" w:space="0"/>
              <w:right w:val="single" w:color="000000" w:sz="4" w:space="0"/>
            </w:tcBorders>
            <w:noWrap w:val="0"/>
            <w:vAlign w:val="center"/>
          </w:tcPr>
          <w:p w14:paraId="518DE28A">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破旧厂房修缮、地面泄漏飞灰粉尘及油污清理、按规范建设危险废物暂存间</w:t>
            </w:r>
          </w:p>
        </w:tc>
        <w:tc>
          <w:tcPr>
            <w:tcW w:w="967" w:type="dxa"/>
            <w:tcBorders>
              <w:top w:val="single" w:color="000000" w:sz="4" w:space="0"/>
              <w:left w:val="single" w:color="000000" w:sz="4" w:space="0"/>
              <w:bottom w:val="single" w:color="000000" w:sz="4" w:space="0"/>
            </w:tcBorders>
            <w:noWrap w:val="0"/>
            <w:vAlign w:val="center"/>
          </w:tcPr>
          <w:p w14:paraId="4291DCA5">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w:t>
            </w:r>
          </w:p>
        </w:tc>
        <w:tc>
          <w:tcPr>
            <w:tcW w:w="2571" w:type="dxa"/>
            <w:tcBorders>
              <w:top w:val="single" w:color="000000" w:sz="4" w:space="0"/>
              <w:left w:val="single" w:color="000000" w:sz="4" w:space="0"/>
              <w:bottom w:val="single" w:color="000000" w:sz="4" w:space="0"/>
            </w:tcBorders>
            <w:noWrap w:val="0"/>
            <w:vAlign w:val="center"/>
          </w:tcPr>
          <w:p w14:paraId="06D32EB0">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地面泄漏飞灰粉尘及油污清理、按规范建设危险废物暂存间</w:t>
            </w:r>
          </w:p>
        </w:tc>
        <w:tc>
          <w:tcPr>
            <w:tcW w:w="898" w:type="dxa"/>
            <w:tcBorders>
              <w:top w:val="single" w:color="000000" w:sz="4" w:space="0"/>
              <w:left w:val="single" w:color="000000" w:sz="4" w:space="0"/>
              <w:bottom w:val="single" w:color="000000" w:sz="4" w:space="0"/>
            </w:tcBorders>
            <w:noWrap w:val="0"/>
            <w:vAlign w:val="center"/>
          </w:tcPr>
          <w:p w14:paraId="0D176864">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r>
      <w:tr w14:paraId="4C2CF813">
        <w:tblPrEx>
          <w:tblCellMar>
            <w:top w:w="0" w:type="dxa"/>
            <w:left w:w="108" w:type="dxa"/>
            <w:bottom w:w="0" w:type="dxa"/>
            <w:right w:w="108" w:type="dxa"/>
          </w:tblCellMar>
        </w:tblPrEx>
        <w:trPr>
          <w:trHeight w:val="340" w:hRule="atLeast"/>
          <w:jc w:val="center"/>
        </w:trPr>
        <w:tc>
          <w:tcPr>
            <w:tcW w:w="1657" w:type="dxa"/>
            <w:gridSpan w:val="2"/>
            <w:tcBorders>
              <w:top w:val="single" w:color="000000" w:sz="4" w:space="0"/>
              <w:bottom w:val="single" w:color="000000" w:sz="12" w:space="0"/>
              <w:right w:val="single" w:color="000000" w:sz="4" w:space="0"/>
            </w:tcBorders>
            <w:noWrap w:val="0"/>
            <w:vAlign w:val="center"/>
          </w:tcPr>
          <w:p w14:paraId="07B70C49">
            <w:pPr>
              <w:pStyle w:val="23"/>
              <w:bidi w:val="0"/>
              <w:rPr>
                <w:rFonts w:hint="default" w:ascii="Times New Roman" w:hAnsi="Times New Roman" w:cs="Times New Roman"/>
                <w:color w:val="auto"/>
              </w:rPr>
            </w:pPr>
            <w:r>
              <w:rPr>
                <w:rFonts w:hint="default" w:ascii="Times New Roman" w:hAnsi="Times New Roman" w:cs="Times New Roman"/>
                <w:color w:val="auto"/>
              </w:rPr>
              <w:t>合计</w:t>
            </w:r>
          </w:p>
        </w:tc>
        <w:tc>
          <w:tcPr>
            <w:tcW w:w="2978" w:type="dxa"/>
            <w:tcBorders>
              <w:top w:val="single" w:color="000000" w:sz="4" w:space="0"/>
              <w:left w:val="single" w:color="000000" w:sz="4" w:space="0"/>
              <w:bottom w:val="single" w:color="000000" w:sz="12" w:space="0"/>
              <w:right w:val="single" w:color="000000" w:sz="4" w:space="0"/>
            </w:tcBorders>
            <w:noWrap w:val="0"/>
            <w:vAlign w:val="center"/>
          </w:tcPr>
          <w:p w14:paraId="778B0734">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967" w:type="dxa"/>
            <w:tcBorders>
              <w:top w:val="single" w:color="000000" w:sz="4" w:space="0"/>
              <w:left w:val="single" w:color="000000" w:sz="4" w:space="0"/>
              <w:bottom w:val="single" w:color="000000" w:sz="12" w:space="0"/>
            </w:tcBorders>
            <w:noWrap w:val="0"/>
            <w:vAlign w:val="center"/>
          </w:tcPr>
          <w:p w14:paraId="3A1DA340">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60</w:t>
            </w:r>
          </w:p>
        </w:tc>
        <w:tc>
          <w:tcPr>
            <w:tcW w:w="2571" w:type="dxa"/>
            <w:tcBorders>
              <w:top w:val="single" w:color="000000" w:sz="4" w:space="0"/>
              <w:left w:val="single" w:color="000000" w:sz="4" w:space="0"/>
              <w:bottom w:val="single" w:color="000000" w:sz="12" w:space="0"/>
            </w:tcBorders>
            <w:noWrap w:val="0"/>
            <w:vAlign w:val="center"/>
          </w:tcPr>
          <w:p w14:paraId="50C93D99">
            <w:pPr>
              <w:pStyle w:val="23"/>
              <w:bidi w:val="0"/>
              <w:rPr>
                <w:rFonts w:hint="default" w:ascii="Times New Roman" w:hAnsi="Times New Roman" w:cs="Times New Roman"/>
                <w:color w:val="auto"/>
                <w:lang w:val="en-US" w:eastAsia="zh-CN"/>
              </w:rPr>
            </w:pPr>
          </w:p>
        </w:tc>
        <w:tc>
          <w:tcPr>
            <w:tcW w:w="898" w:type="dxa"/>
            <w:tcBorders>
              <w:top w:val="single" w:color="000000" w:sz="4" w:space="0"/>
              <w:left w:val="single" w:color="000000" w:sz="4" w:space="0"/>
              <w:bottom w:val="single" w:color="000000" w:sz="12" w:space="0"/>
            </w:tcBorders>
            <w:noWrap w:val="0"/>
            <w:vAlign w:val="center"/>
          </w:tcPr>
          <w:p w14:paraId="6885B9B7">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40</w:t>
            </w:r>
          </w:p>
        </w:tc>
      </w:tr>
    </w:tbl>
    <w:p w14:paraId="7DB61B47">
      <w:pPr>
        <w:pStyle w:val="4"/>
        <w:bidi w:val="0"/>
        <w:rPr>
          <w:rFonts w:hint="default"/>
          <w:color w:val="auto"/>
        </w:rPr>
      </w:pPr>
      <w:bookmarkStart w:id="39" w:name="_Toc13613"/>
      <w:r>
        <w:rPr>
          <w:rFonts w:hint="default"/>
          <w:color w:val="auto"/>
          <w:lang w:val="en-US" w:eastAsia="zh-CN"/>
        </w:rPr>
        <w:t>4.3.2</w:t>
      </w:r>
      <w:r>
        <w:rPr>
          <w:rFonts w:hint="eastAsia"/>
          <w:color w:val="auto"/>
          <w:lang w:val="en-US" w:eastAsia="zh-CN"/>
        </w:rPr>
        <w:t>“</w:t>
      </w:r>
      <w:r>
        <w:rPr>
          <w:rFonts w:hint="default"/>
          <w:color w:val="auto"/>
          <w:lang w:val="en-US" w:eastAsia="zh-CN"/>
        </w:rPr>
        <w:t>三同时</w:t>
      </w:r>
      <w:r>
        <w:rPr>
          <w:rFonts w:hint="eastAsia"/>
          <w:color w:val="auto"/>
          <w:lang w:val="en-US" w:eastAsia="zh-CN"/>
        </w:rPr>
        <w:t>”</w:t>
      </w:r>
      <w:r>
        <w:rPr>
          <w:rFonts w:hint="default"/>
          <w:color w:val="auto"/>
          <w:lang w:val="en-US" w:eastAsia="zh-CN"/>
        </w:rPr>
        <w:t>落实情况</w:t>
      </w:r>
      <w:bookmarkEnd w:id="39"/>
    </w:p>
    <w:p w14:paraId="31F13011">
      <w:pPr>
        <w:bidi w:val="0"/>
        <w:rPr>
          <w:rFonts w:hint="default" w:ascii="Times New Roman" w:hAnsi="Times New Roman" w:cs="Times New Roman"/>
          <w:color w:val="auto"/>
        </w:rPr>
      </w:pPr>
      <w:r>
        <w:rPr>
          <w:rFonts w:hint="default" w:ascii="Times New Roman" w:hAnsi="Times New Roman" w:cs="Times New Roman"/>
          <w:color w:val="auto"/>
        </w:rPr>
        <w:t>项目按国家规定严格执行环境影响评价制度和</w:t>
      </w:r>
      <w:r>
        <w:rPr>
          <w:rFonts w:hint="eastAsia" w:cs="Times New Roman"/>
          <w:color w:val="auto"/>
          <w:lang w:eastAsia="zh-CN"/>
        </w:rPr>
        <w:t>“</w:t>
      </w:r>
      <w:r>
        <w:rPr>
          <w:rFonts w:hint="default" w:ascii="Times New Roman" w:hAnsi="Times New Roman" w:cs="Times New Roman"/>
          <w:color w:val="auto"/>
        </w:rPr>
        <w:t>三同时</w:t>
      </w:r>
      <w:r>
        <w:rPr>
          <w:rFonts w:hint="eastAsia" w:cs="Times New Roman"/>
          <w:color w:val="auto"/>
          <w:lang w:eastAsia="zh-CN"/>
        </w:rPr>
        <w:t>”</w:t>
      </w:r>
      <w:r>
        <w:rPr>
          <w:rFonts w:hint="default" w:ascii="Times New Roman" w:hAnsi="Times New Roman" w:cs="Times New Roman"/>
          <w:color w:val="auto"/>
        </w:rPr>
        <w:t>制度，自觉接受环保部门的检查和监督；项目实际建设内容、规模、工艺和环评基本一致。20</w:t>
      </w:r>
      <w:r>
        <w:rPr>
          <w:rFonts w:hint="default" w:ascii="Times New Roman" w:hAnsi="Times New Roman" w:cs="Times New Roman"/>
          <w:color w:val="auto"/>
          <w:lang w:val="en-US" w:eastAsia="zh-CN"/>
        </w:rPr>
        <w:t>22</w:t>
      </w:r>
      <w:r>
        <w:rPr>
          <w:rFonts w:hint="default" w:ascii="Times New Roman" w:hAnsi="Times New Roman" w:cs="Times New Roman"/>
          <w:color w:val="auto"/>
        </w:rPr>
        <w:t>年</w:t>
      </w:r>
      <w:r>
        <w:rPr>
          <w:rFonts w:hint="default" w:ascii="Times New Roman" w:hAnsi="Times New Roman" w:cs="Times New Roman"/>
          <w:color w:val="auto"/>
          <w:lang w:val="en-US" w:eastAsia="zh-CN"/>
        </w:rPr>
        <w:t>2</w:t>
      </w:r>
      <w:r>
        <w:rPr>
          <w:rFonts w:hint="default" w:ascii="Times New Roman" w:hAnsi="Times New Roman" w:cs="Times New Roman"/>
          <w:color w:val="auto"/>
        </w:rPr>
        <w:t>月福建省环境保护股份公司编制完成了《福州市</w:t>
      </w:r>
      <w:r>
        <w:rPr>
          <w:rFonts w:hint="default" w:ascii="Times New Roman" w:hAnsi="Times New Roman" w:cs="Times New Roman"/>
          <w:color w:val="auto"/>
          <w:lang w:val="en-US" w:eastAsia="zh-CN"/>
        </w:rPr>
        <w:t>红庙岭垃圾焚烧发电厂飞灰稳定化预处理扩建工程BOT项目（二期）环境影响报告书</w:t>
      </w:r>
      <w:r>
        <w:rPr>
          <w:rFonts w:hint="default" w:ascii="Times New Roman" w:hAnsi="Times New Roman" w:cs="Times New Roman"/>
          <w:color w:val="auto"/>
        </w:rPr>
        <w:t>》；20</w:t>
      </w:r>
      <w:r>
        <w:rPr>
          <w:rFonts w:hint="default" w:ascii="Times New Roman" w:hAnsi="Times New Roman" w:cs="Times New Roman"/>
          <w:color w:val="auto"/>
          <w:lang w:val="en-US" w:eastAsia="zh-CN"/>
        </w:rPr>
        <w:t>22</w:t>
      </w:r>
      <w:r>
        <w:rPr>
          <w:rFonts w:hint="default" w:ascii="Times New Roman" w:hAnsi="Times New Roman" w:cs="Times New Roman"/>
          <w:color w:val="auto"/>
        </w:rPr>
        <w:t>年</w:t>
      </w:r>
      <w:r>
        <w:rPr>
          <w:rFonts w:hint="default" w:ascii="Times New Roman" w:hAnsi="Times New Roman" w:cs="Times New Roman"/>
          <w:color w:val="auto"/>
          <w:lang w:val="en-US" w:eastAsia="zh-CN"/>
        </w:rPr>
        <w:t>3</w:t>
      </w:r>
      <w:r>
        <w:rPr>
          <w:rFonts w:hint="default" w:ascii="Times New Roman" w:hAnsi="Times New Roman" w:cs="Times New Roman"/>
          <w:color w:val="auto"/>
        </w:rPr>
        <w:t>月，福州市生态环境局以</w:t>
      </w:r>
      <w:r>
        <w:rPr>
          <w:rFonts w:hint="default" w:ascii="Times New Roman" w:hAnsi="Times New Roman" w:cs="Times New Roman"/>
          <w:color w:val="auto"/>
          <w:lang w:eastAsia="zh-CN"/>
        </w:rPr>
        <w:t>榕环评〔2022〕7号</w:t>
      </w:r>
      <w:r>
        <w:rPr>
          <w:rFonts w:hint="default" w:ascii="Times New Roman" w:hAnsi="Times New Roman" w:cs="Times New Roman"/>
          <w:color w:val="auto"/>
        </w:rPr>
        <w:t>文批准了环境影响报告书。</w:t>
      </w:r>
      <w:r>
        <w:rPr>
          <w:rFonts w:hint="default" w:ascii="Times New Roman" w:hAnsi="Times New Roman" w:cs="Times New Roman"/>
          <w:color w:val="auto"/>
          <w:lang w:val="en-US" w:eastAsia="zh-CN"/>
        </w:rPr>
        <w:t>项目环评提出的</w:t>
      </w:r>
      <w:r>
        <w:rPr>
          <w:rFonts w:hint="eastAsia" w:cs="Times New Roman"/>
          <w:color w:val="auto"/>
          <w:lang w:val="en-US" w:eastAsia="zh-CN"/>
        </w:rPr>
        <w:t>“</w:t>
      </w:r>
      <w:r>
        <w:rPr>
          <w:rFonts w:hint="default" w:ascii="Times New Roman" w:hAnsi="Times New Roman" w:cs="Times New Roman"/>
          <w:color w:val="auto"/>
          <w:lang w:val="en-US" w:eastAsia="zh-CN"/>
        </w:rPr>
        <w:t>三同时</w:t>
      </w:r>
      <w:r>
        <w:rPr>
          <w:rFonts w:hint="eastAsia" w:cs="Times New Roman"/>
          <w:color w:val="auto"/>
          <w:lang w:val="en-US" w:eastAsia="zh-CN"/>
        </w:rPr>
        <w:t>”</w:t>
      </w:r>
      <w:r>
        <w:rPr>
          <w:rFonts w:hint="default" w:ascii="Times New Roman" w:hAnsi="Times New Roman" w:cs="Times New Roman"/>
          <w:color w:val="auto"/>
          <w:lang w:val="en-US" w:eastAsia="zh-CN"/>
        </w:rPr>
        <w:t>验收要求落实情况见表</w:t>
      </w:r>
      <w:r>
        <w:rPr>
          <w:rFonts w:hint="default" w:ascii="Times New Roman" w:hAnsi="Times New Roman" w:cs="Times New Roman"/>
          <w:color w:val="auto"/>
        </w:rPr>
        <w:t>4</w:t>
      </w:r>
      <w:r>
        <w:rPr>
          <w:rFonts w:hint="default" w:ascii="Times New Roman" w:hAnsi="Times New Roman" w:cs="Times New Roman"/>
          <w:color w:val="auto"/>
          <w:lang w:val="en-US" w:eastAsia="zh-CN"/>
        </w:rPr>
        <w:t>.</w:t>
      </w:r>
      <w:r>
        <w:rPr>
          <w:rFonts w:hint="eastAsia" w:cs="Times New Roman"/>
          <w:color w:val="auto"/>
          <w:lang w:val="en-US" w:eastAsia="zh-CN"/>
        </w:rPr>
        <w:t>3</w:t>
      </w:r>
      <w:r>
        <w:rPr>
          <w:rFonts w:hint="default" w:ascii="Times New Roman" w:hAnsi="Times New Roman" w:cs="Times New Roman"/>
          <w:color w:val="auto"/>
        </w:rPr>
        <w:t>-</w:t>
      </w:r>
      <w:r>
        <w:rPr>
          <w:rFonts w:hint="eastAsia" w:cs="Times New Roman"/>
          <w:color w:val="auto"/>
          <w:lang w:val="en-US" w:eastAsia="zh-CN"/>
        </w:rPr>
        <w:t>2</w:t>
      </w:r>
      <w:r>
        <w:rPr>
          <w:rFonts w:hint="eastAsia" w:cs="Times New Roman"/>
          <w:color w:val="auto"/>
          <w:lang w:eastAsia="zh-CN"/>
        </w:rPr>
        <w:t>，</w:t>
      </w:r>
      <w:r>
        <w:rPr>
          <w:rFonts w:hint="eastAsia" w:ascii="Times New Roman" w:hAnsi="Times New Roman" w:cs="Times New Roman"/>
          <w:color w:val="auto"/>
          <w:lang w:val="en-US" w:eastAsia="zh-CN"/>
        </w:rPr>
        <w:t>本项目</w:t>
      </w:r>
      <w:r>
        <w:rPr>
          <w:rFonts w:hint="default" w:ascii="Times New Roman" w:hAnsi="Times New Roman" w:cs="Times New Roman"/>
          <w:color w:val="auto"/>
          <w:lang w:val="en-US" w:eastAsia="zh-CN"/>
        </w:rPr>
        <w:t>环评</w:t>
      </w:r>
      <w:r>
        <w:rPr>
          <w:rFonts w:hint="eastAsia" w:cs="Times New Roman"/>
          <w:color w:val="auto"/>
          <w:lang w:val="en-US" w:eastAsia="zh-CN"/>
        </w:rPr>
        <w:t>根据</w:t>
      </w:r>
      <w:r>
        <w:rPr>
          <w:rFonts w:hint="eastAsia" w:ascii="Times New Roman" w:hAnsi="Times New Roman"/>
          <w:color w:val="auto"/>
          <w:u w:val="none"/>
        </w:rPr>
        <w:t>《生活垃圾焚烧飞灰固化稳定化处理技术标准》（征求意见稿）</w:t>
      </w:r>
      <w:r>
        <w:rPr>
          <w:rFonts w:hint="default" w:ascii="Times New Roman" w:hAnsi="Times New Roman" w:cs="Times New Roman"/>
          <w:color w:val="auto"/>
          <w:lang w:val="en-US" w:eastAsia="zh-CN"/>
        </w:rPr>
        <w:t>提出的</w:t>
      </w:r>
      <w:r>
        <w:rPr>
          <w:rFonts w:hint="eastAsia" w:cs="Times New Roman"/>
          <w:color w:val="auto"/>
          <w:lang w:val="en-US" w:eastAsia="zh-CN"/>
        </w:rPr>
        <w:t>“</w:t>
      </w:r>
      <w:r>
        <w:rPr>
          <w:rFonts w:hint="default" w:ascii="Times New Roman" w:hAnsi="Times New Roman" w:cs="Times New Roman"/>
          <w:color w:val="auto"/>
          <w:lang w:val="en-US" w:eastAsia="zh-CN"/>
        </w:rPr>
        <w:t>三同时</w:t>
      </w:r>
      <w:r>
        <w:rPr>
          <w:rFonts w:hint="eastAsia" w:cs="Times New Roman"/>
          <w:color w:val="auto"/>
          <w:lang w:val="en-US" w:eastAsia="zh-CN"/>
        </w:rPr>
        <w:t>”措施</w:t>
      </w:r>
      <w:r>
        <w:rPr>
          <w:rFonts w:hint="eastAsia" w:ascii="Times New Roman" w:hAnsi="Times New Roman" w:cs="Times New Roman"/>
          <w:color w:val="auto"/>
          <w:lang w:val="en-US" w:eastAsia="zh-CN"/>
        </w:rPr>
        <w:t>要求见表4.3-3</w:t>
      </w:r>
      <w:r>
        <w:rPr>
          <w:rFonts w:hint="eastAsia" w:cs="Times New Roman"/>
          <w:color w:val="auto"/>
          <w:lang w:val="en-US" w:eastAsia="zh-CN"/>
        </w:rPr>
        <w:t>，</w:t>
      </w:r>
      <w:r>
        <w:rPr>
          <w:rFonts w:hint="eastAsia" w:cs="Times New Roman"/>
          <w:color w:val="auto"/>
          <w:lang w:val="en-US" w:eastAsia="zh-CN"/>
        </w:rPr>
        <w:t>2023年9月22日</w:t>
      </w:r>
      <w:r>
        <w:rPr>
          <w:rFonts w:hint="eastAsia" w:ascii="宋体" w:hAnsi="宋体" w:eastAsia="宋体" w:cs="宋体"/>
          <w:i w:val="0"/>
          <w:iCs w:val="0"/>
          <w:caps w:val="0"/>
          <w:color w:val="auto"/>
          <w:spacing w:val="0"/>
          <w:sz w:val="24"/>
          <w:szCs w:val="24"/>
          <w:shd w:val="clear" w:fill="FFFFFF"/>
        </w:rPr>
        <w:t>住房城乡建设部批准</w:t>
      </w:r>
      <w:r>
        <w:rPr>
          <w:rFonts w:hint="eastAsia" w:ascii="宋体" w:hAnsi="宋体" w:eastAsia="宋体" w:cs="宋体"/>
          <w:i w:val="0"/>
          <w:iCs w:val="0"/>
          <w:caps w:val="0"/>
          <w:color w:val="auto"/>
          <w:spacing w:val="0"/>
          <w:sz w:val="24"/>
          <w:szCs w:val="24"/>
          <w:shd w:val="clear" w:fill="FFFFFF"/>
          <w:lang w:eastAsia="zh-CN"/>
        </w:rPr>
        <w:t>了</w:t>
      </w:r>
      <w:r>
        <w:rPr>
          <w:rFonts w:hint="eastAsia" w:ascii="宋体" w:hAnsi="宋体" w:eastAsia="宋体" w:cs="宋体"/>
          <w:i w:val="0"/>
          <w:iCs w:val="0"/>
          <w:caps w:val="0"/>
          <w:color w:val="auto"/>
          <w:spacing w:val="0"/>
          <w:sz w:val="24"/>
          <w:szCs w:val="24"/>
          <w:shd w:val="clear" w:fill="FFFFFF"/>
        </w:rPr>
        <w:t>《生活垃圾焚烧飞灰固化稳定化处理技术标准》</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宋体" w:cs="Times New Roman"/>
          <w:i w:val="0"/>
          <w:iCs w:val="0"/>
          <w:caps w:val="0"/>
          <w:color w:val="auto"/>
          <w:spacing w:val="0"/>
          <w:sz w:val="24"/>
          <w:szCs w:val="24"/>
          <w:shd w:val="clear" w:fill="FFFFFF"/>
        </w:rPr>
        <w:t>CJJ/T316-2023</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eastAsia" w:ascii="宋体" w:hAnsi="宋体" w:eastAsia="宋体" w:cs="宋体"/>
          <w:i w:val="0"/>
          <w:iCs w:val="0"/>
          <w:caps w:val="0"/>
          <w:color w:val="auto"/>
          <w:spacing w:val="0"/>
          <w:sz w:val="24"/>
          <w:szCs w:val="24"/>
          <w:shd w:val="clear" w:fill="FFFFFF"/>
        </w:rPr>
        <w:t>，自</w:t>
      </w:r>
      <w:r>
        <w:rPr>
          <w:rFonts w:hint="default" w:ascii="Times New Roman" w:hAnsi="Times New Roman" w:eastAsia="宋体" w:cs="Times New Roman"/>
          <w:i w:val="0"/>
          <w:iCs w:val="0"/>
          <w:caps w:val="0"/>
          <w:color w:val="auto"/>
          <w:spacing w:val="0"/>
          <w:sz w:val="24"/>
          <w:szCs w:val="24"/>
          <w:shd w:val="clear" w:fill="FFFFFF"/>
        </w:rPr>
        <w:t>2024</w:t>
      </w:r>
      <w:r>
        <w:rPr>
          <w:rFonts w:hint="eastAsia" w:ascii="宋体" w:hAnsi="宋体" w:eastAsia="宋体" w:cs="宋体"/>
          <w:i w:val="0"/>
          <w:iCs w:val="0"/>
          <w:caps w:val="0"/>
          <w:color w:val="auto"/>
          <w:spacing w:val="0"/>
          <w:sz w:val="24"/>
          <w:szCs w:val="24"/>
          <w:shd w:val="clear" w:fill="FFFFFF"/>
        </w:rPr>
        <w:t>年1月1日起实施</w:t>
      </w:r>
      <w:r>
        <w:rPr>
          <w:rFonts w:hint="eastAsia" w:ascii="宋体" w:hAnsi="宋体" w:eastAsia="宋体" w:cs="宋体"/>
          <w:i w:val="0"/>
          <w:iCs w:val="0"/>
          <w:caps w:val="0"/>
          <w:color w:val="auto"/>
          <w:spacing w:val="0"/>
          <w:sz w:val="24"/>
          <w:szCs w:val="24"/>
          <w:shd w:val="clear" w:fill="FFFFFF"/>
          <w:lang w:eastAsia="zh-CN"/>
        </w:rPr>
        <w:t>，</w:t>
      </w:r>
      <w:r>
        <w:rPr>
          <w:rFonts w:hint="eastAsia" w:ascii="宋体" w:hAnsi="宋体" w:cs="宋体"/>
          <w:i w:val="0"/>
          <w:iCs w:val="0"/>
          <w:caps w:val="0"/>
          <w:color w:val="auto"/>
          <w:spacing w:val="0"/>
          <w:sz w:val="24"/>
          <w:szCs w:val="24"/>
          <w:shd w:val="clear" w:fill="FFFFFF"/>
          <w:lang w:val="en-US" w:eastAsia="zh-CN"/>
        </w:rPr>
        <w:t>根据环评报告书要求，</w:t>
      </w:r>
      <w:r>
        <w:rPr>
          <w:rFonts w:hint="eastAsia" w:ascii="Times New Roman" w:hAnsi="Times New Roman"/>
          <w:color w:val="auto"/>
          <w:kern w:val="1"/>
          <w:u w:val="none"/>
        </w:rPr>
        <w:t>本技术标准正式发布执行后，建设单位应积极响应，严格按要求执行</w:t>
      </w:r>
      <w:r>
        <w:rPr>
          <w:rFonts w:hint="eastAsia" w:ascii="Times New Roman" w:hAnsi="Times New Roman"/>
          <w:color w:val="auto"/>
          <w:kern w:val="1"/>
          <w:u w:val="none"/>
          <w:lang w:eastAsia="zh-CN"/>
        </w:rPr>
        <w:t>，</w:t>
      </w:r>
      <w:r>
        <w:rPr>
          <w:rFonts w:hint="eastAsia" w:ascii="宋体" w:hAnsi="宋体" w:eastAsia="宋体" w:cs="宋体"/>
          <w:i w:val="0"/>
          <w:iCs w:val="0"/>
          <w:caps w:val="0"/>
          <w:color w:val="auto"/>
          <w:spacing w:val="0"/>
          <w:sz w:val="24"/>
          <w:szCs w:val="24"/>
          <w:shd w:val="clear" w:fill="FFFFFF"/>
          <w:lang w:val="en-US" w:eastAsia="zh-CN"/>
        </w:rPr>
        <w:t>故</w:t>
      </w:r>
      <w:r>
        <w:rPr>
          <w:rFonts w:hint="eastAsia" w:cs="Times New Roman"/>
          <w:color w:val="auto"/>
          <w:lang w:val="en-US" w:eastAsia="zh-CN"/>
        </w:rPr>
        <w:t>执行</w:t>
      </w:r>
      <w:r>
        <w:rPr>
          <w:rFonts w:hint="eastAsia" w:ascii="宋体" w:hAnsi="宋体" w:eastAsia="宋体" w:cs="宋体"/>
          <w:i w:val="0"/>
          <w:iCs w:val="0"/>
          <w:caps w:val="0"/>
          <w:color w:val="auto"/>
          <w:spacing w:val="0"/>
          <w:sz w:val="24"/>
          <w:szCs w:val="24"/>
          <w:shd w:val="clear" w:fill="FFFFFF"/>
        </w:rPr>
        <w:t>《生活垃圾焚烧飞灰固化稳定化处理技术标准》</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宋体" w:cs="Times New Roman"/>
          <w:i w:val="0"/>
          <w:iCs w:val="0"/>
          <w:caps w:val="0"/>
          <w:color w:val="auto"/>
          <w:spacing w:val="0"/>
          <w:sz w:val="24"/>
          <w:szCs w:val="24"/>
          <w:shd w:val="clear" w:fill="FFFFFF"/>
        </w:rPr>
        <w:t>CJJ/T316-2023</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eastAsia" w:ascii="Times New Roman" w:hAnsi="Times New Roman" w:eastAsia="宋体" w:cs="Times New Roman"/>
          <w:i w:val="0"/>
          <w:iCs w:val="0"/>
          <w:caps w:val="0"/>
          <w:color w:val="auto"/>
          <w:spacing w:val="0"/>
          <w:sz w:val="24"/>
          <w:szCs w:val="24"/>
          <w:shd w:val="clear" w:fill="FFFFFF"/>
          <w:lang w:val="en-US" w:eastAsia="zh-CN"/>
        </w:rPr>
        <w:t>标准要求</w:t>
      </w:r>
      <w:r>
        <w:rPr>
          <w:rFonts w:hint="eastAsia" w:cs="Times New Roman"/>
          <w:color w:val="auto"/>
          <w:lang w:val="en-US" w:eastAsia="zh-CN"/>
        </w:rPr>
        <w:t>，</w:t>
      </w:r>
      <w:r>
        <w:rPr>
          <w:rFonts w:hint="eastAsia" w:ascii="Times New Roman" w:hAnsi="Times New Roman" w:cs="Times New Roman"/>
          <w:color w:val="auto"/>
          <w:lang w:val="en-US" w:eastAsia="zh-CN"/>
        </w:rPr>
        <w:t>本项目</w:t>
      </w:r>
      <w:r>
        <w:rPr>
          <w:rFonts w:hint="default" w:ascii="Times New Roman" w:hAnsi="Times New Roman" w:cs="Times New Roman"/>
          <w:color w:val="auto"/>
          <w:lang w:val="en-US" w:eastAsia="zh-CN"/>
        </w:rPr>
        <w:t>环评</w:t>
      </w:r>
      <w:r>
        <w:rPr>
          <w:rFonts w:hint="eastAsia" w:cs="Times New Roman"/>
          <w:color w:val="auto"/>
          <w:lang w:val="en-US" w:eastAsia="zh-CN"/>
        </w:rPr>
        <w:t>根据</w:t>
      </w:r>
      <w:r>
        <w:rPr>
          <w:rFonts w:hint="eastAsia" w:ascii="Times New Roman" w:hAnsi="Times New Roman"/>
          <w:color w:val="auto"/>
          <w:u w:val="none"/>
        </w:rPr>
        <w:t>《生活垃圾焚烧飞灰固化稳定化处理技术标准》（征求意见稿）</w:t>
      </w:r>
      <w:r>
        <w:rPr>
          <w:rFonts w:hint="default" w:ascii="Times New Roman" w:hAnsi="Times New Roman" w:cs="Times New Roman"/>
          <w:color w:val="auto"/>
          <w:lang w:val="en-US" w:eastAsia="zh-CN"/>
        </w:rPr>
        <w:t>提出的</w:t>
      </w:r>
      <w:r>
        <w:rPr>
          <w:rFonts w:hint="eastAsia" w:cs="Times New Roman"/>
          <w:color w:val="auto"/>
          <w:lang w:val="en-US" w:eastAsia="zh-CN"/>
        </w:rPr>
        <w:t>“</w:t>
      </w:r>
      <w:r>
        <w:rPr>
          <w:rFonts w:hint="default" w:ascii="Times New Roman" w:hAnsi="Times New Roman" w:cs="Times New Roman"/>
          <w:color w:val="auto"/>
          <w:lang w:val="en-US" w:eastAsia="zh-CN"/>
        </w:rPr>
        <w:t>三同时</w:t>
      </w:r>
      <w:r>
        <w:rPr>
          <w:rFonts w:hint="eastAsia" w:cs="Times New Roman"/>
          <w:color w:val="auto"/>
          <w:lang w:val="en-US" w:eastAsia="zh-CN"/>
        </w:rPr>
        <w:t>”措施</w:t>
      </w:r>
      <w:r>
        <w:rPr>
          <w:rFonts w:hint="eastAsia" w:ascii="Times New Roman" w:hAnsi="Times New Roman" w:cs="Times New Roman"/>
          <w:color w:val="auto"/>
          <w:lang w:val="en-US" w:eastAsia="zh-CN"/>
        </w:rPr>
        <w:t>要求与</w:t>
      </w:r>
      <w:r>
        <w:rPr>
          <w:rFonts w:hint="eastAsia" w:ascii="宋体" w:hAnsi="宋体" w:eastAsia="宋体" w:cs="宋体"/>
          <w:i w:val="0"/>
          <w:iCs w:val="0"/>
          <w:caps w:val="0"/>
          <w:color w:val="auto"/>
          <w:spacing w:val="0"/>
          <w:sz w:val="24"/>
          <w:szCs w:val="24"/>
          <w:shd w:val="clear" w:fill="FFFFFF"/>
        </w:rPr>
        <w:t>《生活垃圾焚烧飞灰固化稳定化处理技术标准》</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宋体" w:cs="Times New Roman"/>
          <w:i w:val="0"/>
          <w:iCs w:val="0"/>
          <w:caps w:val="0"/>
          <w:color w:val="auto"/>
          <w:spacing w:val="0"/>
          <w:sz w:val="24"/>
          <w:szCs w:val="24"/>
          <w:shd w:val="clear" w:fill="FFFFFF"/>
        </w:rPr>
        <w:t>CJJ/T316-2023</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cs="Times New Roman"/>
          <w:color w:val="auto"/>
          <w:lang w:eastAsia="zh-CN"/>
        </w:rPr>
        <w:t>（自2024年1月1日起实施）</w:t>
      </w:r>
      <w:r>
        <w:rPr>
          <w:rFonts w:hint="default" w:ascii="Times New Roman" w:hAnsi="Times New Roman" w:cs="Times New Roman"/>
          <w:color w:val="auto"/>
        </w:rPr>
        <w:t>要求</w:t>
      </w:r>
      <w:r>
        <w:rPr>
          <w:rFonts w:hint="eastAsia" w:ascii="Times New Roman" w:hAnsi="Times New Roman" w:cs="Times New Roman"/>
          <w:color w:val="auto"/>
          <w:lang w:val="en-US" w:eastAsia="zh-CN"/>
        </w:rPr>
        <w:t>对照情况</w:t>
      </w:r>
      <w:r>
        <w:rPr>
          <w:rFonts w:hint="default" w:ascii="Times New Roman" w:hAnsi="Times New Roman" w:cs="Times New Roman"/>
          <w:color w:val="auto"/>
          <w:lang w:val="en-US" w:eastAsia="zh-CN"/>
        </w:rPr>
        <w:t>见表</w:t>
      </w:r>
      <w:r>
        <w:rPr>
          <w:rFonts w:hint="default" w:ascii="Times New Roman" w:hAnsi="Times New Roman" w:cs="Times New Roman"/>
          <w:color w:val="auto"/>
        </w:rPr>
        <w:t>4</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3</w:t>
      </w:r>
      <w:r>
        <w:rPr>
          <w:rFonts w:hint="default" w:ascii="Times New Roman" w:hAnsi="Times New Roman" w:cs="Times New Roman"/>
          <w:color w:val="auto"/>
        </w:rPr>
        <w:t>-</w:t>
      </w:r>
      <w:r>
        <w:rPr>
          <w:rFonts w:hint="eastAsia" w:ascii="Times New Roman" w:hAnsi="Times New Roman" w:cs="Times New Roman"/>
          <w:color w:val="auto"/>
          <w:lang w:val="en-US" w:eastAsia="zh-CN"/>
        </w:rPr>
        <w:t>3</w:t>
      </w:r>
      <w:r>
        <w:rPr>
          <w:rFonts w:hint="default" w:ascii="Times New Roman" w:hAnsi="Times New Roman" w:cs="Times New Roman"/>
          <w:color w:val="auto"/>
        </w:rPr>
        <w:t>。</w:t>
      </w:r>
    </w:p>
    <w:p w14:paraId="68F97F43">
      <w:pPr>
        <w:bidi w:val="0"/>
        <w:rPr>
          <w:rFonts w:hint="default" w:ascii="Times New Roman" w:hAnsi="Times New Roman" w:cs="Times New Roman"/>
          <w:color w:val="auto"/>
        </w:rPr>
        <w:sectPr>
          <w:pgSz w:w="11907" w:h="16839"/>
          <w:pgMar w:top="1701" w:right="1417" w:bottom="1701" w:left="1701" w:header="1078" w:footer="992" w:gutter="0"/>
          <w:pgNumType w:fmt="decimal"/>
          <w:cols w:space="720" w:num="1"/>
        </w:sectPr>
      </w:pPr>
    </w:p>
    <w:p w14:paraId="009618CF">
      <w:pPr>
        <w:pStyle w:val="21"/>
        <w:bidi w:val="0"/>
        <w:rPr>
          <w:rFonts w:hint="default" w:ascii="Times New Roman" w:hAnsi="Times New Roman" w:cs="Times New Roman"/>
          <w:color w:val="auto"/>
        </w:rPr>
      </w:pPr>
      <w:r>
        <w:rPr>
          <w:rFonts w:hint="default" w:ascii="Times New Roman" w:hAnsi="Times New Roman" w:cs="Times New Roman"/>
          <w:color w:val="auto"/>
        </w:rPr>
        <w:t>表4</w:t>
      </w:r>
      <w:r>
        <w:rPr>
          <w:rFonts w:hint="default" w:ascii="Times New Roman" w:hAnsi="Times New Roman" w:cs="Times New Roman"/>
          <w:color w:val="auto"/>
          <w:lang w:val="en-US" w:eastAsia="zh-CN"/>
        </w:rPr>
        <w:t>.</w:t>
      </w:r>
      <w:r>
        <w:rPr>
          <w:rFonts w:hint="eastAsia" w:cs="Times New Roman"/>
          <w:color w:val="auto"/>
          <w:lang w:val="en-US" w:eastAsia="zh-CN"/>
        </w:rPr>
        <w:t>3</w:t>
      </w:r>
      <w:r>
        <w:rPr>
          <w:rFonts w:hint="default" w:ascii="Times New Roman" w:hAnsi="Times New Roman" w:cs="Times New Roman"/>
          <w:color w:val="auto"/>
        </w:rPr>
        <w:t>-</w:t>
      </w:r>
      <w:r>
        <w:rPr>
          <w:rFonts w:hint="eastAsia" w:cs="Times New Roman"/>
          <w:color w:val="auto"/>
          <w:lang w:val="en-US" w:eastAsia="zh-CN"/>
        </w:rPr>
        <w:t>2</w:t>
      </w:r>
      <w:r>
        <w:rPr>
          <w:rFonts w:hint="default" w:ascii="Times New Roman" w:hAnsi="Times New Roman" w:cs="Times New Roman"/>
          <w:color w:val="auto"/>
        </w:rPr>
        <w:t xml:space="preserve">  本项目</w:t>
      </w:r>
      <w:r>
        <w:rPr>
          <w:rFonts w:hint="eastAsia" w:cs="Times New Roman"/>
          <w:color w:val="auto"/>
          <w:lang w:eastAsia="zh-CN"/>
        </w:rPr>
        <w:t>“</w:t>
      </w:r>
      <w:r>
        <w:rPr>
          <w:rFonts w:hint="eastAsia" w:cs="Times New Roman"/>
          <w:color w:val="auto"/>
          <w:lang w:val="en-US" w:eastAsia="zh-CN"/>
        </w:rPr>
        <w:t>三同时</w:t>
      </w:r>
      <w:r>
        <w:rPr>
          <w:rFonts w:hint="eastAsia" w:cs="Times New Roman"/>
          <w:color w:val="auto"/>
          <w:lang w:eastAsia="zh-CN"/>
        </w:rPr>
        <w:t>”</w:t>
      </w:r>
      <w:r>
        <w:rPr>
          <w:rFonts w:hint="default" w:ascii="Times New Roman" w:hAnsi="Times New Roman" w:cs="Times New Roman"/>
          <w:color w:val="auto"/>
        </w:rPr>
        <w:t>落实情况一览表</w:t>
      </w:r>
    </w:p>
    <w:tbl>
      <w:tblPr>
        <w:tblStyle w:val="20"/>
        <w:tblW w:w="14173" w:type="dxa"/>
        <w:jc w:val="center"/>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62"/>
        <w:gridCol w:w="1862"/>
        <w:gridCol w:w="4920"/>
        <w:gridCol w:w="4881"/>
        <w:gridCol w:w="1587"/>
      </w:tblGrid>
      <w:tr w14:paraId="2058CEC3">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tcBorders>
              <w:left w:val="nil"/>
            </w:tcBorders>
            <w:vAlign w:val="center"/>
          </w:tcPr>
          <w:p w14:paraId="202C3371">
            <w:pPr>
              <w:pStyle w:val="23"/>
              <w:bidi w:val="0"/>
              <w:rPr>
                <w:rFonts w:hint="default" w:ascii="Times New Roman" w:hAnsi="Times New Roman" w:cs="Times New Roman"/>
                <w:color w:val="auto"/>
              </w:rPr>
            </w:pPr>
            <w:r>
              <w:rPr>
                <w:rFonts w:hint="default" w:ascii="Times New Roman" w:hAnsi="Times New Roman" w:cs="Times New Roman"/>
                <w:color w:val="auto"/>
              </w:rPr>
              <w:t>污染环节</w:t>
            </w:r>
          </w:p>
        </w:tc>
        <w:tc>
          <w:tcPr>
            <w:tcW w:w="1862" w:type="dxa"/>
            <w:vAlign w:val="center"/>
          </w:tcPr>
          <w:p w14:paraId="4DC53385">
            <w:pPr>
              <w:pStyle w:val="23"/>
              <w:bidi w:val="0"/>
              <w:rPr>
                <w:rFonts w:hint="default" w:ascii="Times New Roman" w:hAnsi="Times New Roman" w:cs="Times New Roman"/>
                <w:color w:val="auto"/>
              </w:rPr>
            </w:pPr>
            <w:r>
              <w:rPr>
                <w:rFonts w:hint="default" w:ascii="Times New Roman" w:hAnsi="Times New Roman" w:cs="Times New Roman"/>
                <w:color w:val="auto"/>
              </w:rPr>
              <w:t>主要污染因子</w:t>
            </w:r>
          </w:p>
        </w:tc>
        <w:tc>
          <w:tcPr>
            <w:tcW w:w="4920" w:type="dxa"/>
            <w:vAlign w:val="center"/>
          </w:tcPr>
          <w:p w14:paraId="631CA99D">
            <w:pPr>
              <w:pStyle w:val="23"/>
              <w:bidi w:val="0"/>
              <w:rPr>
                <w:rFonts w:hint="default" w:ascii="Times New Roman" w:hAnsi="Times New Roman" w:cs="Times New Roman"/>
                <w:color w:val="auto"/>
              </w:rPr>
            </w:pPr>
            <w:r>
              <w:rPr>
                <w:rFonts w:hint="default" w:ascii="Times New Roman" w:hAnsi="Times New Roman" w:cs="Times New Roman"/>
                <w:color w:val="auto"/>
              </w:rPr>
              <w:t>设施建设或措施内容</w:t>
            </w:r>
          </w:p>
        </w:tc>
        <w:tc>
          <w:tcPr>
            <w:tcW w:w="4881" w:type="dxa"/>
            <w:tcBorders>
              <w:right w:val="single" w:color="000000" w:sz="2" w:space="0"/>
            </w:tcBorders>
            <w:vAlign w:val="center"/>
          </w:tcPr>
          <w:p w14:paraId="1CB9655B">
            <w:pPr>
              <w:pStyle w:val="23"/>
              <w:bidi w:val="0"/>
              <w:rPr>
                <w:rFonts w:hint="default" w:ascii="Times New Roman" w:hAnsi="Times New Roman" w:cs="Times New Roman"/>
                <w:color w:val="auto"/>
              </w:rPr>
            </w:pPr>
            <w:r>
              <w:rPr>
                <w:rFonts w:hint="default" w:ascii="Times New Roman" w:hAnsi="Times New Roman" w:cs="Times New Roman"/>
                <w:color w:val="auto"/>
              </w:rPr>
              <w:t>实际建设情况</w:t>
            </w:r>
          </w:p>
        </w:tc>
        <w:tc>
          <w:tcPr>
            <w:tcW w:w="1587" w:type="dxa"/>
            <w:tcBorders>
              <w:left w:val="single" w:color="000000" w:sz="2" w:space="0"/>
              <w:right w:val="nil"/>
            </w:tcBorders>
            <w:vAlign w:val="center"/>
          </w:tcPr>
          <w:p w14:paraId="4793433C">
            <w:pPr>
              <w:pStyle w:val="23"/>
              <w:bidi w:val="0"/>
              <w:rPr>
                <w:rFonts w:hint="default" w:ascii="Times New Roman" w:hAnsi="Times New Roman" w:cs="Times New Roman"/>
                <w:color w:val="auto"/>
              </w:rPr>
            </w:pPr>
            <w:r>
              <w:rPr>
                <w:rFonts w:hint="default" w:ascii="Times New Roman" w:hAnsi="Times New Roman" w:cs="Times New Roman"/>
                <w:color w:val="auto"/>
              </w:rPr>
              <w:t>落实情况</w:t>
            </w:r>
          </w:p>
        </w:tc>
      </w:tr>
      <w:tr w14:paraId="55C34FA4">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tcBorders>
              <w:left w:val="nil"/>
            </w:tcBorders>
            <w:vAlign w:val="center"/>
          </w:tcPr>
          <w:p w14:paraId="7B526113">
            <w:pPr>
              <w:pStyle w:val="23"/>
              <w:bidi w:val="0"/>
              <w:rPr>
                <w:rFonts w:hint="default" w:ascii="Times New Roman" w:hAnsi="Times New Roman" w:cs="Times New Roman"/>
                <w:color w:val="auto"/>
              </w:rPr>
            </w:pPr>
            <w:r>
              <w:rPr>
                <w:rFonts w:hint="default" w:ascii="Times New Roman" w:hAnsi="Times New Roman" w:cs="Times New Roman"/>
                <w:color w:val="auto"/>
              </w:rPr>
              <w:t>生活污水</w:t>
            </w:r>
          </w:p>
        </w:tc>
        <w:tc>
          <w:tcPr>
            <w:tcW w:w="1862" w:type="dxa"/>
            <w:vAlign w:val="center"/>
          </w:tcPr>
          <w:p w14:paraId="6AFCD873">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pH、</w:t>
            </w:r>
            <w:r>
              <w:rPr>
                <w:rFonts w:hint="default" w:ascii="Times New Roman" w:hAnsi="Times New Roman" w:cs="Times New Roman"/>
                <w:color w:val="auto"/>
              </w:rPr>
              <w:t>COD、</w:t>
            </w:r>
            <w:r>
              <w:rPr>
                <w:rFonts w:hint="default" w:ascii="Times New Roman" w:hAnsi="Times New Roman" w:cs="Times New Roman"/>
                <w:color w:val="auto"/>
                <w:lang w:val="en-US" w:eastAsia="zh-CN"/>
              </w:rPr>
              <w:t>SS、</w:t>
            </w:r>
            <w:r>
              <w:rPr>
                <w:rFonts w:hint="default" w:ascii="Times New Roman" w:hAnsi="Times New Roman" w:cs="Times New Roman"/>
                <w:color w:val="auto"/>
              </w:rPr>
              <w:t>BOD</w:t>
            </w:r>
            <w:r>
              <w:rPr>
                <w:rFonts w:hint="default" w:ascii="Times New Roman" w:hAnsi="Times New Roman" w:cs="Times New Roman"/>
                <w:color w:val="auto"/>
                <w:vertAlign w:val="subscript"/>
              </w:rPr>
              <w:t>5</w:t>
            </w:r>
            <w:r>
              <w:rPr>
                <w:rFonts w:hint="default" w:ascii="Times New Roman" w:hAnsi="Times New Roman" w:cs="Times New Roman"/>
                <w:color w:val="auto"/>
              </w:rPr>
              <w:t>、氨氮</w:t>
            </w:r>
            <w:r>
              <w:rPr>
                <w:rFonts w:hint="default" w:ascii="Times New Roman" w:hAnsi="Times New Roman" w:cs="Times New Roman"/>
                <w:color w:val="auto"/>
                <w:lang w:val="en-US" w:eastAsia="zh-CN"/>
              </w:rPr>
              <w:t>、总磷</w:t>
            </w:r>
          </w:p>
        </w:tc>
        <w:tc>
          <w:tcPr>
            <w:tcW w:w="4920" w:type="dxa"/>
            <w:vAlign w:val="center"/>
          </w:tcPr>
          <w:p w14:paraId="554024F6">
            <w:pPr>
              <w:pStyle w:val="23"/>
              <w:bidi w:val="0"/>
              <w:jc w:val="left"/>
              <w:rPr>
                <w:rFonts w:hint="default" w:ascii="Times New Roman" w:hAnsi="Times New Roman" w:cs="Times New Roman"/>
                <w:color w:val="auto"/>
              </w:rPr>
            </w:pPr>
            <w:r>
              <w:rPr>
                <w:rFonts w:hint="default" w:ascii="Times New Roman" w:hAnsi="Times New Roman" w:cs="Times New Roman"/>
                <w:color w:val="auto"/>
              </w:rPr>
              <w:t>经化粪池处理后通过市政污水管网纳入福州市洋里污水厂</w:t>
            </w:r>
          </w:p>
        </w:tc>
        <w:tc>
          <w:tcPr>
            <w:tcW w:w="4881" w:type="dxa"/>
            <w:tcBorders>
              <w:right w:val="single" w:color="000000" w:sz="2" w:space="0"/>
            </w:tcBorders>
            <w:vAlign w:val="center"/>
          </w:tcPr>
          <w:p w14:paraId="047556BE">
            <w:pPr>
              <w:pStyle w:val="23"/>
              <w:bidi w:val="0"/>
              <w:jc w:val="left"/>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项目未新增生活污水产生量，全厂生活污水</w:t>
            </w:r>
            <w:r>
              <w:rPr>
                <w:rFonts w:hint="default" w:ascii="Times New Roman" w:hAnsi="Times New Roman" w:cs="Times New Roman"/>
                <w:color w:val="auto"/>
              </w:rPr>
              <w:t>经化粪池处理后通过市政污水管网纳入福州市洋里污水厂</w:t>
            </w:r>
            <w:r>
              <w:rPr>
                <w:rFonts w:hint="default" w:ascii="Times New Roman" w:hAnsi="Times New Roman" w:cs="Times New Roman"/>
                <w:color w:val="auto"/>
                <w:lang w:eastAsia="zh-CN"/>
              </w:rPr>
              <w:t>。</w:t>
            </w:r>
          </w:p>
        </w:tc>
        <w:tc>
          <w:tcPr>
            <w:tcW w:w="1587" w:type="dxa"/>
            <w:tcBorders>
              <w:left w:val="single" w:color="000000" w:sz="2" w:space="0"/>
              <w:right w:val="nil"/>
            </w:tcBorders>
            <w:vAlign w:val="center"/>
          </w:tcPr>
          <w:p w14:paraId="4D1C364A">
            <w:pPr>
              <w:pStyle w:val="23"/>
              <w:bidi w:val="0"/>
              <w:rPr>
                <w:rFonts w:hint="default" w:ascii="Times New Roman" w:hAnsi="Times New Roman" w:cs="Times New Roman"/>
                <w:color w:val="auto"/>
                <w:lang w:eastAsia="zh-CN"/>
              </w:rPr>
            </w:pPr>
            <w:r>
              <w:rPr>
                <w:rFonts w:hint="eastAsia" w:cs="Times New Roman"/>
                <w:color w:val="auto"/>
                <w:lang w:val="en-US" w:eastAsia="zh-CN"/>
              </w:rPr>
              <w:t>已落实</w:t>
            </w:r>
          </w:p>
        </w:tc>
      </w:tr>
      <w:tr w14:paraId="340E186B">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tcBorders>
              <w:left w:val="nil"/>
            </w:tcBorders>
            <w:vAlign w:val="center"/>
          </w:tcPr>
          <w:p w14:paraId="39387155">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rPr>
              <w:t>生产废水</w:t>
            </w:r>
          </w:p>
        </w:tc>
        <w:tc>
          <w:tcPr>
            <w:tcW w:w="1862" w:type="dxa"/>
            <w:vAlign w:val="center"/>
          </w:tcPr>
          <w:p w14:paraId="30AA4A8A">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rPr>
              <w:t>COD、BOD</w:t>
            </w:r>
            <w:r>
              <w:rPr>
                <w:rFonts w:hint="default" w:ascii="Times New Roman" w:hAnsi="Times New Roman" w:cs="Times New Roman"/>
                <w:color w:val="auto"/>
                <w:vertAlign w:val="subscript"/>
              </w:rPr>
              <w:t>5</w:t>
            </w:r>
            <w:r>
              <w:rPr>
                <w:rFonts w:hint="default" w:ascii="Times New Roman" w:hAnsi="Times New Roman" w:cs="Times New Roman"/>
                <w:color w:val="auto"/>
              </w:rPr>
              <w:t>、氨氮</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SS、汞、镉、铅、锌、pH</w:t>
            </w:r>
          </w:p>
        </w:tc>
        <w:tc>
          <w:tcPr>
            <w:tcW w:w="4920" w:type="dxa"/>
            <w:vAlign w:val="center"/>
          </w:tcPr>
          <w:p w14:paraId="633FB1D6">
            <w:pPr>
              <w:pStyle w:val="23"/>
              <w:bidi w:val="0"/>
              <w:jc w:val="left"/>
              <w:rPr>
                <w:rFonts w:hint="default" w:ascii="Times New Roman" w:hAnsi="Times New Roman" w:cs="Times New Roman"/>
                <w:color w:val="auto"/>
                <w:lang w:val="en-US" w:eastAsia="zh-CN"/>
              </w:rPr>
            </w:pPr>
            <w:r>
              <w:rPr>
                <w:rFonts w:hint="default" w:ascii="Times New Roman" w:hAnsi="Times New Roman" w:cs="Times New Roman"/>
                <w:color w:val="auto"/>
              </w:rPr>
              <w:t>设置生产废水回用收集槽</w:t>
            </w:r>
            <w:r>
              <w:rPr>
                <w:rFonts w:hint="default" w:ascii="Times New Roman" w:hAnsi="Times New Roman" w:cs="Times New Roman"/>
                <w:color w:val="auto"/>
                <w:lang w:val="en-US" w:eastAsia="zh-CN"/>
              </w:rPr>
              <w:t>及回用池、</w:t>
            </w:r>
            <w:r>
              <w:rPr>
                <w:rFonts w:hint="default" w:ascii="Times New Roman" w:hAnsi="Times New Roman" w:cs="Times New Roman"/>
                <w:color w:val="auto"/>
              </w:rPr>
              <w:t>专门废水回收罐，实现生产废水每日收集后回用。</w:t>
            </w:r>
          </w:p>
        </w:tc>
        <w:tc>
          <w:tcPr>
            <w:tcW w:w="4881" w:type="dxa"/>
            <w:tcBorders>
              <w:right w:val="single" w:color="000000" w:sz="2" w:space="0"/>
            </w:tcBorders>
            <w:vAlign w:val="center"/>
          </w:tcPr>
          <w:p w14:paraId="678998FC">
            <w:pPr>
              <w:pStyle w:val="23"/>
              <w:bidi w:val="0"/>
              <w:jc w:val="left"/>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设置生产废水回用收集槽</w:t>
            </w:r>
            <w:r>
              <w:rPr>
                <w:rFonts w:hint="default" w:ascii="Times New Roman" w:hAnsi="Times New Roman" w:cs="Times New Roman"/>
                <w:color w:val="auto"/>
                <w:lang w:val="en-US" w:eastAsia="zh-CN"/>
              </w:rPr>
              <w:t>及回用池、</w:t>
            </w:r>
            <w:r>
              <w:rPr>
                <w:rFonts w:hint="default" w:ascii="Times New Roman" w:hAnsi="Times New Roman" w:cs="Times New Roman"/>
                <w:color w:val="auto"/>
                <w:lang w:eastAsia="zh-CN"/>
              </w:rPr>
              <w:t>专门废水回收罐，实现生产废水每日收集后回用。</w:t>
            </w:r>
          </w:p>
        </w:tc>
        <w:tc>
          <w:tcPr>
            <w:tcW w:w="1587" w:type="dxa"/>
            <w:tcBorders>
              <w:left w:val="single" w:color="000000" w:sz="2" w:space="0"/>
              <w:right w:val="nil"/>
            </w:tcBorders>
            <w:vAlign w:val="center"/>
          </w:tcPr>
          <w:p w14:paraId="21421BFB">
            <w:pPr>
              <w:pStyle w:val="23"/>
              <w:bidi w:val="0"/>
              <w:rPr>
                <w:rFonts w:hint="default" w:ascii="Times New Roman" w:hAnsi="Times New Roman" w:cs="Times New Roman"/>
                <w:color w:val="auto"/>
                <w:lang w:val="en-US" w:eastAsia="zh-CN"/>
              </w:rPr>
            </w:pPr>
            <w:r>
              <w:rPr>
                <w:rFonts w:hint="eastAsia" w:cs="Times New Roman"/>
                <w:color w:val="auto"/>
                <w:lang w:val="en-US" w:eastAsia="zh-CN"/>
              </w:rPr>
              <w:t>已落实</w:t>
            </w:r>
          </w:p>
        </w:tc>
      </w:tr>
      <w:tr w14:paraId="4706A8B1">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1" w:type="dxa"/>
            <w:vMerge w:val="restart"/>
            <w:tcBorders>
              <w:left w:val="nil"/>
            </w:tcBorders>
            <w:vAlign w:val="center"/>
          </w:tcPr>
          <w:p w14:paraId="7F9C1EC1">
            <w:pPr>
              <w:pStyle w:val="23"/>
              <w:bidi w:val="0"/>
              <w:rPr>
                <w:rFonts w:hint="default" w:ascii="Times New Roman" w:hAnsi="Times New Roman" w:cs="Times New Roman"/>
                <w:color w:val="auto"/>
              </w:rPr>
            </w:pPr>
            <w:r>
              <w:rPr>
                <w:rFonts w:hint="default" w:ascii="Times New Roman" w:hAnsi="Times New Roman" w:cs="Times New Roman"/>
                <w:color w:val="auto"/>
              </w:rPr>
              <w:t>废气</w:t>
            </w:r>
          </w:p>
        </w:tc>
        <w:tc>
          <w:tcPr>
            <w:tcW w:w="462" w:type="dxa"/>
            <w:tcBorders>
              <w:left w:val="nil"/>
            </w:tcBorders>
            <w:vAlign w:val="center"/>
          </w:tcPr>
          <w:p w14:paraId="16FC9BED">
            <w:pPr>
              <w:pStyle w:val="23"/>
              <w:bidi w:val="0"/>
              <w:rPr>
                <w:rFonts w:hint="default" w:ascii="Times New Roman" w:hAnsi="Times New Roman" w:cs="Times New Roman"/>
                <w:color w:val="auto"/>
              </w:rPr>
            </w:pPr>
            <w:r>
              <w:rPr>
                <w:rFonts w:hint="default" w:ascii="Times New Roman" w:hAnsi="Times New Roman" w:cs="Times New Roman"/>
                <w:color w:val="auto"/>
              </w:rPr>
              <w:t>有组织</w:t>
            </w:r>
          </w:p>
        </w:tc>
        <w:tc>
          <w:tcPr>
            <w:tcW w:w="1862" w:type="dxa"/>
            <w:vMerge w:val="restart"/>
            <w:vAlign w:val="center"/>
          </w:tcPr>
          <w:p w14:paraId="4AFF285D">
            <w:pPr>
              <w:pStyle w:val="23"/>
              <w:bidi w:val="0"/>
              <w:rPr>
                <w:rFonts w:hint="default" w:ascii="Times New Roman" w:hAnsi="Times New Roman" w:cs="Times New Roman"/>
                <w:color w:val="auto"/>
              </w:rPr>
            </w:pPr>
            <w:r>
              <w:rPr>
                <w:rFonts w:hint="default" w:ascii="Times New Roman" w:hAnsi="Times New Roman" w:cs="Times New Roman"/>
                <w:color w:val="auto"/>
              </w:rPr>
              <w:t>颗粒物</w:t>
            </w:r>
          </w:p>
        </w:tc>
        <w:tc>
          <w:tcPr>
            <w:tcW w:w="4920" w:type="dxa"/>
            <w:shd w:val="clear" w:color="auto" w:fill="auto"/>
            <w:vAlign w:val="center"/>
          </w:tcPr>
          <w:p w14:paraId="7679AD29">
            <w:pPr>
              <w:pStyle w:val="23"/>
              <w:bidi w:val="0"/>
              <w:ind w:firstLine="0" w:firstLineChars="0"/>
              <w:jc w:val="left"/>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color w:val="auto"/>
              </w:rPr>
              <w:t>全套稳定化预处理设备全封闭；贮存筒仓仓顶设置布袋除尘器，贮存粉尘经布袋除尘后经排气管道接入</w:t>
            </w:r>
            <w:r>
              <w:rPr>
                <w:rFonts w:hint="default" w:ascii="Times New Roman" w:hAnsi="Times New Roman" w:cs="Times New Roman"/>
                <w:color w:val="auto"/>
                <w:lang w:eastAsia="zh-CN"/>
              </w:rPr>
              <w:t>排气筒G1（DA001）</w:t>
            </w:r>
            <w:r>
              <w:rPr>
                <w:rFonts w:hint="default" w:ascii="Times New Roman" w:hAnsi="Times New Roman" w:cs="Times New Roman"/>
                <w:color w:val="auto"/>
              </w:rPr>
              <w:t>（H=25m）引至屋顶外有组织排放；破碎粉尘经收尘管道收集，经布袋除尘器处理后与贮存粉尘一样，通过排气管道接入</w:t>
            </w:r>
            <w:r>
              <w:rPr>
                <w:rFonts w:hint="default" w:ascii="Times New Roman" w:hAnsi="Times New Roman" w:cs="Times New Roman"/>
                <w:color w:val="auto"/>
                <w:lang w:eastAsia="zh-CN"/>
              </w:rPr>
              <w:t>排气筒G1（DA001）</w:t>
            </w:r>
            <w:r>
              <w:rPr>
                <w:rFonts w:hint="default" w:ascii="Times New Roman" w:hAnsi="Times New Roman" w:cs="Times New Roman"/>
                <w:color w:val="auto"/>
              </w:rPr>
              <w:t>引至屋顶外有组织排放</w:t>
            </w:r>
            <w:r>
              <w:rPr>
                <w:rFonts w:hint="default" w:ascii="Times New Roman" w:hAnsi="Times New Roman" w:cs="Times New Roman"/>
                <w:color w:val="auto"/>
                <w:lang w:eastAsia="zh-CN"/>
              </w:rPr>
              <w:t>。</w:t>
            </w:r>
          </w:p>
        </w:tc>
        <w:tc>
          <w:tcPr>
            <w:tcW w:w="4881" w:type="dxa"/>
            <w:tcBorders>
              <w:right w:val="single" w:color="000000" w:sz="2" w:space="0"/>
            </w:tcBorders>
            <w:vAlign w:val="center"/>
          </w:tcPr>
          <w:p w14:paraId="247ECF7D">
            <w:pPr>
              <w:pStyle w:val="23"/>
              <w:bidi w:val="0"/>
              <w:jc w:val="left"/>
              <w:rPr>
                <w:rFonts w:hint="default" w:ascii="Times New Roman" w:hAnsi="Times New Roman" w:eastAsia="宋体" w:cs="Times New Roman"/>
                <w:color w:val="auto"/>
                <w:lang w:eastAsia="zh-CN"/>
              </w:rPr>
            </w:pPr>
            <w:r>
              <w:rPr>
                <w:rFonts w:hint="default" w:ascii="Times New Roman" w:hAnsi="Times New Roman" w:cs="Times New Roman"/>
                <w:color w:val="auto"/>
              </w:rPr>
              <w:t>全套稳定化预处理设备全封闭；贮存筒仓仓顶设置布袋除尘器，贮存粉尘经布袋除尘后经排气管道接入</w:t>
            </w:r>
            <w:r>
              <w:rPr>
                <w:rFonts w:hint="default" w:ascii="Times New Roman" w:hAnsi="Times New Roman" w:cs="Times New Roman"/>
                <w:color w:val="auto"/>
                <w:lang w:eastAsia="zh-CN"/>
              </w:rPr>
              <w:t>排气筒G1（DA001）</w:t>
            </w:r>
            <w:r>
              <w:rPr>
                <w:rFonts w:hint="default" w:ascii="Times New Roman" w:hAnsi="Times New Roman" w:cs="Times New Roman"/>
                <w:color w:val="auto"/>
              </w:rPr>
              <w:t>（H=25m）引至屋顶外有组织排放；破碎粉尘经收尘管道收集，经布袋除尘器处理后与贮存粉尘一样，通过排气管道接入</w:t>
            </w:r>
            <w:r>
              <w:rPr>
                <w:rFonts w:hint="default" w:ascii="Times New Roman" w:hAnsi="Times New Roman" w:cs="Times New Roman"/>
                <w:color w:val="auto"/>
                <w:lang w:eastAsia="zh-CN"/>
              </w:rPr>
              <w:t>排气筒G1（DA001）</w:t>
            </w:r>
            <w:r>
              <w:rPr>
                <w:rFonts w:hint="default" w:ascii="Times New Roman" w:hAnsi="Times New Roman" w:cs="Times New Roman"/>
                <w:color w:val="auto"/>
              </w:rPr>
              <w:t>引至屋顶外有组织排放</w:t>
            </w:r>
            <w:r>
              <w:rPr>
                <w:rFonts w:hint="default" w:ascii="Times New Roman" w:hAnsi="Times New Roman" w:cs="Times New Roman"/>
                <w:color w:val="auto"/>
                <w:lang w:eastAsia="zh-CN"/>
              </w:rPr>
              <w:t>。</w:t>
            </w:r>
          </w:p>
        </w:tc>
        <w:tc>
          <w:tcPr>
            <w:tcW w:w="1587" w:type="dxa"/>
            <w:tcBorders>
              <w:left w:val="single" w:color="000000" w:sz="2" w:space="0"/>
              <w:right w:val="nil"/>
            </w:tcBorders>
            <w:vAlign w:val="center"/>
          </w:tcPr>
          <w:p w14:paraId="45A0E0F7">
            <w:pPr>
              <w:pStyle w:val="23"/>
              <w:bidi w:val="0"/>
              <w:rPr>
                <w:rFonts w:hint="default" w:ascii="Times New Roman" w:hAnsi="Times New Roman" w:cs="Times New Roman"/>
                <w:color w:val="auto"/>
              </w:rPr>
            </w:pPr>
            <w:r>
              <w:rPr>
                <w:rFonts w:hint="eastAsia" w:cs="Times New Roman"/>
                <w:color w:val="auto"/>
                <w:lang w:val="en-US" w:eastAsia="zh-CN"/>
              </w:rPr>
              <w:t>已落实</w:t>
            </w:r>
          </w:p>
        </w:tc>
      </w:tr>
      <w:tr w14:paraId="29A13F4E">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61" w:type="dxa"/>
            <w:vMerge w:val="continue"/>
            <w:tcBorders>
              <w:left w:val="nil"/>
            </w:tcBorders>
            <w:vAlign w:val="center"/>
          </w:tcPr>
          <w:p w14:paraId="1891C7BA">
            <w:pPr>
              <w:pStyle w:val="23"/>
              <w:bidi w:val="0"/>
              <w:rPr>
                <w:rFonts w:hint="default" w:ascii="Times New Roman" w:hAnsi="Times New Roman" w:cs="Times New Roman"/>
                <w:color w:val="auto"/>
              </w:rPr>
            </w:pPr>
          </w:p>
        </w:tc>
        <w:tc>
          <w:tcPr>
            <w:tcW w:w="462" w:type="dxa"/>
            <w:tcBorders>
              <w:left w:val="nil"/>
            </w:tcBorders>
            <w:vAlign w:val="center"/>
          </w:tcPr>
          <w:p w14:paraId="6652F021">
            <w:pPr>
              <w:pStyle w:val="23"/>
              <w:bidi w:val="0"/>
              <w:rPr>
                <w:rFonts w:hint="default" w:ascii="Times New Roman" w:hAnsi="Times New Roman" w:cs="Times New Roman"/>
                <w:color w:val="auto"/>
              </w:rPr>
            </w:pPr>
            <w:r>
              <w:rPr>
                <w:rFonts w:hint="default" w:ascii="Times New Roman" w:hAnsi="Times New Roman" w:cs="Times New Roman"/>
                <w:color w:val="auto"/>
              </w:rPr>
              <w:t>无组织</w:t>
            </w:r>
          </w:p>
        </w:tc>
        <w:tc>
          <w:tcPr>
            <w:tcW w:w="1862" w:type="dxa"/>
            <w:vMerge w:val="continue"/>
            <w:vAlign w:val="center"/>
          </w:tcPr>
          <w:p w14:paraId="19CE324C">
            <w:pPr>
              <w:pStyle w:val="23"/>
              <w:bidi w:val="0"/>
              <w:rPr>
                <w:rFonts w:hint="default" w:ascii="Times New Roman" w:hAnsi="Times New Roman" w:cs="Times New Roman"/>
                <w:color w:val="auto"/>
              </w:rPr>
            </w:pPr>
          </w:p>
        </w:tc>
        <w:tc>
          <w:tcPr>
            <w:tcW w:w="4920" w:type="dxa"/>
            <w:shd w:val="clear" w:color="auto" w:fill="auto"/>
            <w:vAlign w:val="center"/>
          </w:tcPr>
          <w:p w14:paraId="0BA06FC9">
            <w:pPr>
              <w:pStyle w:val="23"/>
              <w:bidi w:val="0"/>
              <w:ind w:firstLine="0" w:firstLineChars="0"/>
              <w:jc w:val="left"/>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color w:val="auto"/>
              </w:rPr>
              <w:t>散溢粉尘沉降在厂房内被及时清扫回用至生产中，少量粉尘随运输车辆以及人员进出被带出厂房呈无组织排放</w:t>
            </w:r>
            <w:r>
              <w:rPr>
                <w:rFonts w:hint="default" w:ascii="Times New Roman" w:hAnsi="Times New Roman" w:cs="Times New Roman"/>
                <w:color w:val="auto"/>
                <w:lang w:eastAsia="zh-CN"/>
              </w:rPr>
              <w:t>。</w:t>
            </w:r>
          </w:p>
        </w:tc>
        <w:tc>
          <w:tcPr>
            <w:tcW w:w="4881" w:type="dxa"/>
            <w:tcBorders>
              <w:right w:val="single" w:color="000000" w:sz="2" w:space="0"/>
            </w:tcBorders>
            <w:vAlign w:val="center"/>
          </w:tcPr>
          <w:p w14:paraId="433F4600">
            <w:pPr>
              <w:pStyle w:val="23"/>
              <w:bidi w:val="0"/>
              <w:jc w:val="left"/>
              <w:rPr>
                <w:rFonts w:hint="default" w:ascii="Times New Roman" w:hAnsi="Times New Roman" w:eastAsia="宋体" w:cs="Times New Roman"/>
                <w:color w:val="auto"/>
                <w:lang w:eastAsia="zh-CN"/>
              </w:rPr>
            </w:pPr>
            <w:r>
              <w:rPr>
                <w:rFonts w:hint="default" w:ascii="Times New Roman" w:hAnsi="Times New Roman" w:cs="Times New Roman"/>
                <w:color w:val="auto"/>
              </w:rPr>
              <w:t>散溢粉尘沉降在厂房内被及时清扫回用至生产中，少量粉尘随运输车辆以及人员进出被带出厂房呈无组织排放</w:t>
            </w:r>
            <w:r>
              <w:rPr>
                <w:rFonts w:hint="default" w:ascii="Times New Roman" w:hAnsi="Times New Roman" w:cs="Times New Roman"/>
                <w:color w:val="auto"/>
                <w:lang w:eastAsia="zh-CN"/>
              </w:rPr>
              <w:t>。</w:t>
            </w:r>
          </w:p>
        </w:tc>
        <w:tc>
          <w:tcPr>
            <w:tcW w:w="1587" w:type="dxa"/>
            <w:tcBorders>
              <w:left w:val="single" w:color="000000" w:sz="2" w:space="0"/>
              <w:right w:val="nil"/>
            </w:tcBorders>
            <w:vAlign w:val="center"/>
          </w:tcPr>
          <w:p w14:paraId="13D5F53F">
            <w:pPr>
              <w:pStyle w:val="23"/>
              <w:bidi w:val="0"/>
              <w:rPr>
                <w:rFonts w:hint="default" w:ascii="Times New Roman" w:hAnsi="Times New Roman" w:cs="Times New Roman"/>
                <w:color w:val="auto"/>
              </w:rPr>
            </w:pPr>
            <w:r>
              <w:rPr>
                <w:rFonts w:hint="eastAsia" w:cs="Times New Roman"/>
                <w:color w:val="auto"/>
                <w:lang w:val="en-US" w:eastAsia="zh-CN"/>
              </w:rPr>
              <w:t>已落实</w:t>
            </w:r>
          </w:p>
        </w:tc>
      </w:tr>
      <w:tr w14:paraId="73740E16">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tcBorders>
              <w:left w:val="nil"/>
            </w:tcBorders>
            <w:vAlign w:val="center"/>
          </w:tcPr>
          <w:p w14:paraId="100546A8">
            <w:pPr>
              <w:pStyle w:val="23"/>
              <w:bidi w:val="0"/>
              <w:rPr>
                <w:rFonts w:hint="default" w:ascii="Times New Roman" w:hAnsi="Times New Roman" w:cs="Times New Roman"/>
                <w:color w:val="auto"/>
              </w:rPr>
            </w:pPr>
            <w:r>
              <w:rPr>
                <w:rFonts w:hint="default" w:ascii="Times New Roman" w:hAnsi="Times New Roman" w:cs="Times New Roman"/>
                <w:color w:val="auto"/>
              </w:rPr>
              <w:t>噪声</w:t>
            </w:r>
          </w:p>
        </w:tc>
        <w:tc>
          <w:tcPr>
            <w:tcW w:w="1862" w:type="dxa"/>
            <w:vAlign w:val="center"/>
          </w:tcPr>
          <w:p w14:paraId="44D58C64">
            <w:pPr>
              <w:pStyle w:val="23"/>
              <w:bidi w:val="0"/>
              <w:rPr>
                <w:rFonts w:hint="default" w:ascii="Times New Roman" w:hAnsi="Times New Roman" w:cs="Times New Roman"/>
                <w:color w:val="auto"/>
              </w:rPr>
            </w:pPr>
            <w:r>
              <w:rPr>
                <w:rFonts w:hint="default" w:ascii="Times New Roman" w:hAnsi="Times New Roman" w:cs="Times New Roman"/>
                <w:color w:val="auto"/>
              </w:rPr>
              <w:t>工业噪声</w:t>
            </w:r>
          </w:p>
        </w:tc>
        <w:tc>
          <w:tcPr>
            <w:tcW w:w="4920" w:type="dxa"/>
            <w:vAlign w:val="center"/>
          </w:tcPr>
          <w:p w14:paraId="546048D6">
            <w:pPr>
              <w:pStyle w:val="23"/>
              <w:bidi w:val="0"/>
              <w:jc w:val="left"/>
              <w:rPr>
                <w:rFonts w:hint="default" w:ascii="Times New Roman" w:hAnsi="Times New Roman" w:eastAsia="宋体" w:cs="Times New Roman"/>
                <w:color w:val="auto"/>
                <w:lang w:eastAsia="zh-CN"/>
              </w:rPr>
            </w:pPr>
            <w:r>
              <w:rPr>
                <w:rFonts w:hint="default" w:ascii="Times New Roman" w:hAnsi="Times New Roman" w:cs="Times New Roman"/>
                <w:color w:val="auto"/>
              </w:rPr>
              <w:t>厂内各高噪声设备采用隔声、减振等降噪减噪措施；厂界及厂内运输道路两侧设置绿化带</w:t>
            </w:r>
            <w:r>
              <w:rPr>
                <w:rFonts w:hint="default" w:ascii="Times New Roman" w:hAnsi="Times New Roman" w:cs="Times New Roman"/>
                <w:color w:val="auto"/>
                <w:lang w:eastAsia="zh-CN"/>
              </w:rPr>
              <w:t>。</w:t>
            </w:r>
          </w:p>
        </w:tc>
        <w:tc>
          <w:tcPr>
            <w:tcW w:w="4881" w:type="dxa"/>
            <w:tcBorders>
              <w:right w:val="single" w:color="000000" w:sz="2" w:space="0"/>
            </w:tcBorders>
            <w:vAlign w:val="center"/>
          </w:tcPr>
          <w:p w14:paraId="274AC512">
            <w:pPr>
              <w:pStyle w:val="23"/>
              <w:bidi w:val="0"/>
              <w:jc w:val="left"/>
              <w:rPr>
                <w:rFonts w:hint="default" w:ascii="Times New Roman" w:hAnsi="Times New Roman" w:eastAsia="宋体" w:cs="Times New Roman"/>
                <w:color w:val="auto"/>
                <w:lang w:eastAsia="zh-CN"/>
              </w:rPr>
            </w:pPr>
            <w:r>
              <w:rPr>
                <w:rFonts w:hint="default" w:ascii="Times New Roman" w:hAnsi="Times New Roman" w:cs="Times New Roman"/>
                <w:color w:val="auto"/>
              </w:rPr>
              <w:t>厂内各高噪声设备采用隔声、减振等降噪减噪措施；厂界及厂内运输道路两侧设置绿化带</w:t>
            </w:r>
            <w:r>
              <w:rPr>
                <w:rFonts w:hint="default" w:ascii="Times New Roman" w:hAnsi="Times New Roman" w:cs="Times New Roman"/>
                <w:color w:val="auto"/>
                <w:lang w:eastAsia="zh-CN"/>
              </w:rPr>
              <w:t>。</w:t>
            </w:r>
          </w:p>
        </w:tc>
        <w:tc>
          <w:tcPr>
            <w:tcW w:w="1587" w:type="dxa"/>
            <w:tcBorders>
              <w:left w:val="single" w:color="000000" w:sz="2" w:space="0"/>
              <w:right w:val="nil"/>
            </w:tcBorders>
            <w:vAlign w:val="center"/>
          </w:tcPr>
          <w:p w14:paraId="05896E8F">
            <w:pPr>
              <w:pStyle w:val="23"/>
              <w:bidi w:val="0"/>
              <w:rPr>
                <w:rFonts w:hint="default" w:ascii="Times New Roman" w:hAnsi="Times New Roman" w:cs="Times New Roman"/>
                <w:color w:val="auto"/>
              </w:rPr>
            </w:pPr>
            <w:r>
              <w:rPr>
                <w:rFonts w:hint="eastAsia" w:cs="Times New Roman"/>
                <w:color w:val="auto"/>
                <w:lang w:val="en-US" w:eastAsia="zh-CN"/>
              </w:rPr>
              <w:t>已落实</w:t>
            </w:r>
          </w:p>
        </w:tc>
      </w:tr>
      <w:tr w14:paraId="1F1B8EAA">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vMerge w:val="restart"/>
            <w:tcBorders>
              <w:left w:val="nil"/>
              <w:bottom w:val="single" w:color="auto" w:sz="4" w:space="0"/>
            </w:tcBorders>
            <w:vAlign w:val="center"/>
          </w:tcPr>
          <w:p w14:paraId="3F7C9100">
            <w:pPr>
              <w:pStyle w:val="23"/>
              <w:bidi w:val="0"/>
              <w:rPr>
                <w:rFonts w:hint="default" w:ascii="Times New Roman" w:hAnsi="Times New Roman" w:cs="Times New Roman"/>
                <w:color w:val="auto"/>
              </w:rPr>
            </w:pPr>
            <w:r>
              <w:rPr>
                <w:rFonts w:hint="default" w:ascii="Times New Roman" w:hAnsi="Times New Roman" w:cs="Times New Roman"/>
                <w:color w:val="auto"/>
              </w:rPr>
              <w:t>固体废物</w:t>
            </w:r>
          </w:p>
        </w:tc>
        <w:tc>
          <w:tcPr>
            <w:tcW w:w="1862" w:type="dxa"/>
            <w:vAlign w:val="center"/>
          </w:tcPr>
          <w:p w14:paraId="54A1A547">
            <w:pPr>
              <w:pStyle w:val="23"/>
              <w:bidi w:val="0"/>
              <w:rPr>
                <w:rFonts w:hint="default" w:ascii="Times New Roman" w:hAnsi="Times New Roman" w:cs="Times New Roman"/>
                <w:color w:val="auto"/>
              </w:rPr>
            </w:pPr>
            <w:r>
              <w:rPr>
                <w:rFonts w:hint="default" w:ascii="Times New Roman" w:hAnsi="Times New Roman" w:cs="Times New Roman"/>
                <w:color w:val="auto"/>
              </w:rPr>
              <w:t>原料飞灰</w:t>
            </w:r>
          </w:p>
        </w:tc>
        <w:tc>
          <w:tcPr>
            <w:tcW w:w="4920" w:type="dxa"/>
            <w:vAlign w:val="center"/>
          </w:tcPr>
          <w:p w14:paraId="4DC4C5FB">
            <w:pPr>
              <w:pStyle w:val="23"/>
              <w:bidi w:val="0"/>
              <w:jc w:val="left"/>
              <w:rPr>
                <w:rFonts w:hint="default" w:ascii="Times New Roman" w:hAnsi="Times New Roman" w:cs="Times New Roman"/>
                <w:color w:val="auto"/>
              </w:rPr>
            </w:pPr>
            <w:r>
              <w:rPr>
                <w:rFonts w:hint="default" w:ascii="Times New Roman" w:hAnsi="Times New Roman" w:cs="Times New Roman"/>
                <w:color w:val="auto"/>
              </w:rPr>
              <w:t>原材料飞灰进场后按《危险废物贮存污染控制标准》中的各项规定要求贮存、处置。</w:t>
            </w:r>
          </w:p>
        </w:tc>
        <w:tc>
          <w:tcPr>
            <w:tcW w:w="4881" w:type="dxa"/>
            <w:tcBorders>
              <w:right w:val="single" w:color="000000" w:sz="2" w:space="0"/>
            </w:tcBorders>
            <w:vAlign w:val="center"/>
          </w:tcPr>
          <w:p w14:paraId="44F93C22">
            <w:pPr>
              <w:pStyle w:val="23"/>
              <w:bidi w:val="0"/>
              <w:jc w:val="left"/>
              <w:rPr>
                <w:rFonts w:hint="default" w:ascii="Times New Roman" w:hAnsi="Times New Roman" w:cs="Times New Roman"/>
                <w:color w:val="auto"/>
                <w:lang w:eastAsia="zh-CN"/>
              </w:rPr>
            </w:pPr>
            <w:r>
              <w:rPr>
                <w:rFonts w:hint="default" w:ascii="Times New Roman" w:hAnsi="Times New Roman" w:cs="Times New Roman"/>
                <w:color w:val="auto"/>
              </w:rPr>
              <w:t>根据调查，本项目原材料飞灰进场后可符合《危险废物贮存污染控制标准》中的各项规定；工程固废处置本着</w:t>
            </w:r>
            <w:r>
              <w:rPr>
                <w:rFonts w:hint="eastAsia" w:cs="Times New Roman"/>
                <w:color w:val="auto"/>
                <w:lang w:eastAsia="zh-CN"/>
              </w:rPr>
              <w:t>“</w:t>
            </w:r>
            <w:r>
              <w:rPr>
                <w:rFonts w:hint="default" w:ascii="Times New Roman" w:hAnsi="Times New Roman" w:cs="Times New Roman"/>
                <w:color w:val="auto"/>
              </w:rPr>
              <w:t>无害化、减量化、资源化</w:t>
            </w:r>
            <w:r>
              <w:rPr>
                <w:rFonts w:hint="eastAsia" w:cs="Times New Roman"/>
                <w:color w:val="auto"/>
                <w:lang w:eastAsia="zh-CN"/>
              </w:rPr>
              <w:t>”</w:t>
            </w:r>
            <w:r>
              <w:rPr>
                <w:rFonts w:hint="default" w:ascii="Times New Roman" w:hAnsi="Times New Roman" w:cs="Times New Roman"/>
                <w:color w:val="auto"/>
              </w:rPr>
              <w:t>的原则，可以得到合理处置</w:t>
            </w:r>
            <w:r>
              <w:rPr>
                <w:rFonts w:hint="default" w:ascii="Times New Roman" w:hAnsi="Times New Roman" w:cs="Times New Roman"/>
                <w:color w:val="auto"/>
                <w:lang w:eastAsia="zh-CN"/>
              </w:rPr>
              <w:t>。</w:t>
            </w:r>
          </w:p>
        </w:tc>
        <w:tc>
          <w:tcPr>
            <w:tcW w:w="1587" w:type="dxa"/>
            <w:tcBorders>
              <w:left w:val="single" w:color="000000" w:sz="2" w:space="0"/>
              <w:right w:val="nil"/>
            </w:tcBorders>
            <w:vAlign w:val="center"/>
          </w:tcPr>
          <w:p w14:paraId="09B25BAC">
            <w:pPr>
              <w:pStyle w:val="23"/>
              <w:bidi w:val="0"/>
              <w:rPr>
                <w:rFonts w:hint="default" w:ascii="Times New Roman" w:hAnsi="Times New Roman" w:cs="Times New Roman"/>
                <w:color w:val="auto"/>
              </w:rPr>
            </w:pPr>
            <w:r>
              <w:rPr>
                <w:rFonts w:hint="eastAsia" w:cs="Times New Roman"/>
                <w:color w:val="auto"/>
                <w:lang w:val="en-US" w:eastAsia="zh-CN"/>
              </w:rPr>
              <w:t>已落实</w:t>
            </w:r>
          </w:p>
        </w:tc>
      </w:tr>
      <w:tr w14:paraId="7278D3A2">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vMerge w:val="continue"/>
            <w:tcBorders>
              <w:top w:val="single" w:color="auto" w:sz="4" w:space="0"/>
              <w:left w:val="nil"/>
              <w:bottom w:val="single" w:color="auto" w:sz="4" w:space="0"/>
            </w:tcBorders>
            <w:vAlign w:val="center"/>
          </w:tcPr>
          <w:p w14:paraId="01CD98C8">
            <w:pPr>
              <w:pStyle w:val="23"/>
              <w:bidi w:val="0"/>
              <w:rPr>
                <w:rFonts w:hint="default" w:ascii="Times New Roman" w:hAnsi="Times New Roman" w:cs="Times New Roman"/>
                <w:color w:val="auto"/>
              </w:rPr>
            </w:pPr>
          </w:p>
        </w:tc>
        <w:tc>
          <w:tcPr>
            <w:tcW w:w="1862" w:type="dxa"/>
            <w:vAlign w:val="center"/>
          </w:tcPr>
          <w:p w14:paraId="674F697C">
            <w:pPr>
              <w:pStyle w:val="23"/>
              <w:bidi w:val="0"/>
              <w:rPr>
                <w:rFonts w:hint="default" w:ascii="Times New Roman" w:hAnsi="Times New Roman" w:cs="Times New Roman"/>
                <w:color w:val="auto"/>
              </w:rPr>
            </w:pPr>
            <w:r>
              <w:rPr>
                <w:rFonts w:hint="default" w:ascii="Times New Roman" w:hAnsi="Times New Roman" w:cs="Times New Roman"/>
                <w:color w:val="auto"/>
              </w:rPr>
              <w:t>生活垃圾</w:t>
            </w:r>
          </w:p>
        </w:tc>
        <w:tc>
          <w:tcPr>
            <w:tcW w:w="4920" w:type="dxa"/>
            <w:vAlign w:val="center"/>
          </w:tcPr>
          <w:p w14:paraId="4EF313F5">
            <w:pPr>
              <w:pStyle w:val="23"/>
              <w:bidi w:val="0"/>
              <w:jc w:val="left"/>
              <w:rPr>
                <w:rFonts w:hint="default" w:ascii="Times New Roman" w:hAnsi="Times New Roman" w:cs="Times New Roman"/>
                <w:color w:val="auto"/>
              </w:rPr>
            </w:pPr>
            <w:r>
              <w:rPr>
                <w:rFonts w:hint="default" w:ascii="Times New Roman" w:hAnsi="Times New Roman" w:cs="Times New Roman"/>
                <w:color w:val="auto"/>
              </w:rPr>
              <w:t>定点收集垃圾，及时清运，运至垃圾填埋场或垃圾焚烧发电厂处理。</w:t>
            </w:r>
          </w:p>
        </w:tc>
        <w:tc>
          <w:tcPr>
            <w:tcW w:w="4881" w:type="dxa"/>
            <w:tcBorders>
              <w:right w:val="single" w:color="000000" w:sz="2" w:space="0"/>
            </w:tcBorders>
            <w:vAlign w:val="center"/>
          </w:tcPr>
          <w:p w14:paraId="770A6531">
            <w:pPr>
              <w:pStyle w:val="23"/>
              <w:bidi w:val="0"/>
              <w:jc w:val="left"/>
              <w:rPr>
                <w:rFonts w:hint="default" w:ascii="Times New Roman" w:hAnsi="Times New Roman" w:cs="Times New Roman"/>
                <w:color w:val="auto"/>
              </w:rPr>
            </w:pPr>
            <w:r>
              <w:rPr>
                <w:rFonts w:hint="default" w:ascii="Times New Roman" w:hAnsi="Times New Roman" w:cs="Times New Roman"/>
                <w:color w:val="auto"/>
              </w:rPr>
              <w:t>运转垃圾焚烧发电厂焚烧发电或垃圾焚烧发电厂处理。</w:t>
            </w:r>
          </w:p>
        </w:tc>
        <w:tc>
          <w:tcPr>
            <w:tcW w:w="1587" w:type="dxa"/>
            <w:tcBorders>
              <w:left w:val="single" w:color="000000" w:sz="2" w:space="0"/>
              <w:right w:val="nil"/>
            </w:tcBorders>
            <w:vAlign w:val="center"/>
          </w:tcPr>
          <w:p w14:paraId="383BF072">
            <w:pPr>
              <w:pStyle w:val="23"/>
              <w:bidi w:val="0"/>
              <w:rPr>
                <w:rFonts w:hint="default" w:ascii="Times New Roman" w:hAnsi="Times New Roman" w:cs="Times New Roman"/>
                <w:color w:val="auto"/>
              </w:rPr>
            </w:pPr>
            <w:r>
              <w:rPr>
                <w:rFonts w:hint="eastAsia" w:cs="Times New Roman"/>
                <w:color w:val="auto"/>
                <w:lang w:val="en-US" w:eastAsia="zh-CN"/>
              </w:rPr>
              <w:t>已落实</w:t>
            </w:r>
          </w:p>
        </w:tc>
      </w:tr>
      <w:tr w14:paraId="0654AD6C">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vMerge w:val="continue"/>
            <w:tcBorders>
              <w:top w:val="single" w:color="auto" w:sz="4" w:space="0"/>
              <w:left w:val="nil"/>
              <w:bottom w:val="single" w:color="auto" w:sz="4" w:space="0"/>
            </w:tcBorders>
            <w:vAlign w:val="center"/>
          </w:tcPr>
          <w:p w14:paraId="13101BE9">
            <w:pPr>
              <w:pStyle w:val="23"/>
              <w:bidi w:val="0"/>
              <w:rPr>
                <w:rFonts w:hint="default" w:ascii="Times New Roman" w:hAnsi="Times New Roman" w:cs="Times New Roman"/>
                <w:color w:val="auto"/>
              </w:rPr>
            </w:pPr>
          </w:p>
        </w:tc>
        <w:tc>
          <w:tcPr>
            <w:tcW w:w="1862" w:type="dxa"/>
            <w:vAlign w:val="center"/>
          </w:tcPr>
          <w:p w14:paraId="704087C6">
            <w:pPr>
              <w:pStyle w:val="23"/>
              <w:bidi w:val="0"/>
              <w:rPr>
                <w:rFonts w:hint="default" w:ascii="Times New Roman" w:hAnsi="Times New Roman" w:cs="Times New Roman"/>
                <w:color w:val="auto"/>
              </w:rPr>
            </w:pPr>
            <w:r>
              <w:rPr>
                <w:rFonts w:hint="default" w:ascii="Times New Roman" w:hAnsi="Times New Roman" w:cs="Times New Roman"/>
                <w:color w:val="auto"/>
              </w:rPr>
              <w:t>破损滤袋</w:t>
            </w:r>
          </w:p>
        </w:tc>
        <w:tc>
          <w:tcPr>
            <w:tcW w:w="4920" w:type="dxa"/>
            <w:vMerge w:val="restart"/>
            <w:vAlign w:val="center"/>
          </w:tcPr>
          <w:p w14:paraId="20E612CD">
            <w:pPr>
              <w:pStyle w:val="23"/>
              <w:bidi w:val="0"/>
              <w:rPr>
                <w:rFonts w:hint="default" w:ascii="Times New Roman" w:hAnsi="Times New Roman" w:cs="Times New Roman"/>
                <w:color w:val="auto"/>
              </w:rPr>
            </w:pPr>
            <w:r>
              <w:rPr>
                <w:rFonts w:hint="default" w:ascii="Times New Roman" w:hAnsi="Times New Roman" w:cs="Times New Roman"/>
                <w:color w:val="auto"/>
              </w:rPr>
              <w:t>委托有危险废物处置资质的单位外运处理。</w:t>
            </w:r>
          </w:p>
        </w:tc>
        <w:tc>
          <w:tcPr>
            <w:tcW w:w="4881" w:type="dxa"/>
            <w:vMerge w:val="restart"/>
            <w:tcBorders>
              <w:right w:val="single" w:color="000000" w:sz="2" w:space="0"/>
            </w:tcBorders>
            <w:vAlign w:val="center"/>
          </w:tcPr>
          <w:p w14:paraId="63D6A360">
            <w:pPr>
              <w:pStyle w:val="23"/>
              <w:bidi w:val="0"/>
              <w:rPr>
                <w:rFonts w:hint="default" w:ascii="Times New Roman" w:hAnsi="Times New Roman" w:cs="Times New Roman"/>
                <w:color w:val="auto"/>
                <w:lang w:eastAsia="zh-CN"/>
              </w:rPr>
            </w:pPr>
            <w:r>
              <w:rPr>
                <w:rFonts w:hint="eastAsia" w:cs="Times New Roman"/>
                <w:color w:val="auto"/>
                <w:lang w:val="en-US" w:eastAsia="zh-CN"/>
              </w:rPr>
              <w:t>委托</w:t>
            </w:r>
            <w:r>
              <w:rPr>
                <w:rFonts w:hint="default" w:ascii="Times New Roman" w:hAnsi="Times New Roman" w:cs="Times New Roman"/>
                <w:color w:val="auto"/>
                <w:kern w:val="1"/>
                <w:u w:val="none"/>
                <w:lang w:val="en-US" w:eastAsia="zh-CN"/>
              </w:rPr>
              <w:t>福建深投海峡环保科技有限公司</w:t>
            </w:r>
            <w:r>
              <w:rPr>
                <w:rFonts w:hint="default" w:ascii="Times New Roman" w:hAnsi="Times New Roman" w:cs="Times New Roman"/>
                <w:color w:val="auto"/>
              </w:rPr>
              <w:t>外运处理</w:t>
            </w:r>
            <w:r>
              <w:rPr>
                <w:rFonts w:hint="default" w:ascii="Times New Roman" w:hAnsi="Times New Roman" w:cs="Times New Roman"/>
                <w:color w:val="auto"/>
                <w:lang w:eastAsia="zh-CN"/>
              </w:rPr>
              <w:t>。</w:t>
            </w:r>
          </w:p>
        </w:tc>
        <w:tc>
          <w:tcPr>
            <w:tcW w:w="1587" w:type="dxa"/>
            <w:vMerge w:val="restart"/>
            <w:tcBorders>
              <w:left w:val="single" w:color="000000" w:sz="2" w:space="0"/>
              <w:right w:val="nil"/>
            </w:tcBorders>
            <w:vAlign w:val="center"/>
          </w:tcPr>
          <w:p w14:paraId="3486D90C">
            <w:pPr>
              <w:pStyle w:val="23"/>
              <w:bidi w:val="0"/>
              <w:rPr>
                <w:rFonts w:hint="default" w:ascii="Times New Roman" w:hAnsi="Times New Roman" w:cs="Times New Roman"/>
                <w:color w:val="auto"/>
              </w:rPr>
            </w:pPr>
            <w:r>
              <w:rPr>
                <w:rFonts w:hint="eastAsia" w:cs="Times New Roman"/>
                <w:color w:val="auto"/>
                <w:lang w:val="en-US" w:eastAsia="zh-CN"/>
              </w:rPr>
              <w:t>已落实</w:t>
            </w:r>
          </w:p>
        </w:tc>
      </w:tr>
      <w:tr w14:paraId="051CE8AD">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vMerge w:val="continue"/>
            <w:tcBorders>
              <w:top w:val="single" w:color="auto" w:sz="4" w:space="0"/>
              <w:left w:val="nil"/>
              <w:bottom w:val="single" w:color="auto" w:sz="4" w:space="0"/>
            </w:tcBorders>
            <w:vAlign w:val="center"/>
          </w:tcPr>
          <w:p w14:paraId="0D8EA82E">
            <w:pPr>
              <w:pStyle w:val="23"/>
              <w:bidi w:val="0"/>
              <w:rPr>
                <w:rFonts w:hint="default" w:ascii="Times New Roman" w:hAnsi="Times New Roman" w:cs="Times New Roman"/>
                <w:color w:val="auto"/>
              </w:rPr>
            </w:pPr>
          </w:p>
        </w:tc>
        <w:tc>
          <w:tcPr>
            <w:tcW w:w="1862" w:type="dxa"/>
            <w:vAlign w:val="center"/>
          </w:tcPr>
          <w:p w14:paraId="2736F4D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废油桶</w:t>
            </w:r>
          </w:p>
        </w:tc>
        <w:tc>
          <w:tcPr>
            <w:tcW w:w="4920" w:type="dxa"/>
            <w:vMerge w:val="continue"/>
            <w:vAlign w:val="center"/>
          </w:tcPr>
          <w:p w14:paraId="5B14FDF7">
            <w:pPr>
              <w:pStyle w:val="23"/>
              <w:bidi w:val="0"/>
              <w:rPr>
                <w:rFonts w:hint="default" w:ascii="Times New Roman" w:hAnsi="Times New Roman" w:cs="Times New Roman"/>
                <w:color w:val="auto"/>
              </w:rPr>
            </w:pPr>
          </w:p>
        </w:tc>
        <w:tc>
          <w:tcPr>
            <w:tcW w:w="4881" w:type="dxa"/>
            <w:vMerge w:val="continue"/>
            <w:tcBorders>
              <w:right w:val="single" w:color="000000" w:sz="2" w:space="0"/>
            </w:tcBorders>
            <w:vAlign w:val="center"/>
          </w:tcPr>
          <w:p w14:paraId="7E7C8434">
            <w:pPr>
              <w:pStyle w:val="23"/>
              <w:bidi w:val="0"/>
              <w:rPr>
                <w:rFonts w:hint="default" w:ascii="Times New Roman" w:hAnsi="Times New Roman" w:cs="Times New Roman"/>
                <w:color w:val="auto"/>
                <w:lang w:eastAsia="zh-CN"/>
              </w:rPr>
            </w:pPr>
          </w:p>
        </w:tc>
        <w:tc>
          <w:tcPr>
            <w:tcW w:w="1587" w:type="dxa"/>
            <w:vMerge w:val="continue"/>
            <w:tcBorders>
              <w:left w:val="single" w:color="000000" w:sz="2" w:space="0"/>
              <w:right w:val="nil"/>
            </w:tcBorders>
            <w:vAlign w:val="center"/>
          </w:tcPr>
          <w:p w14:paraId="7DB4B9BC">
            <w:pPr>
              <w:pStyle w:val="23"/>
              <w:bidi w:val="0"/>
              <w:rPr>
                <w:rFonts w:hint="default" w:ascii="Times New Roman" w:hAnsi="Times New Roman" w:cs="Times New Roman"/>
                <w:color w:val="auto"/>
              </w:rPr>
            </w:pPr>
          </w:p>
        </w:tc>
      </w:tr>
      <w:tr w14:paraId="76CBF28B">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vMerge w:val="continue"/>
            <w:tcBorders>
              <w:top w:val="single" w:color="auto" w:sz="4" w:space="0"/>
              <w:left w:val="nil"/>
              <w:bottom w:val="single" w:color="auto" w:sz="4" w:space="0"/>
            </w:tcBorders>
            <w:vAlign w:val="center"/>
          </w:tcPr>
          <w:p w14:paraId="18529A1D">
            <w:pPr>
              <w:pStyle w:val="23"/>
              <w:bidi w:val="0"/>
              <w:rPr>
                <w:rFonts w:hint="default" w:ascii="Times New Roman" w:hAnsi="Times New Roman" w:cs="Times New Roman"/>
                <w:color w:val="auto"/>
              </w:rPr>
            </w:pPr>
          </w:p>
        </w:tc>
        <w:tc>
          <w:tcPr>
            <w:tcW w:w="1862" w:type="dxa"/>
            <w:vAlign w:val="center"/>
          </w:tcPr>
          <w:p w14:paraId="54230E62">
            <w:pPr>
              <w:pStyle w:val="23"/>
              <w:bidi w:val="0"/>
              <w:rPr>
                <w:rFonts w:hint="default" w:ascii="Times New Roman" w:hAnsi="Times New Roman" w:cs="Times New Roman"/>
                <w:color w:val="auto"/>
              </w:rPr>
            </w:pPr>
            <w:r>
              <w:rPr>
                <w:rFonts w:hint="default" w:ascii="Times New Roman" w:hAnsi="Times New Roman" w:cs="Times New Roman"/>
                <w:color w:val="auto"/>
              </w:rPr>
              <w:t>布袋除尘器收集的粉尘</w:t>
            </w:r>
          </w:p>
        </w:tc>
        <w:tc>
          <w:tcPr>
            <w:tcW w:w="4920" w:type="dxa"/>
            <w:vAlign w:val="center"/>
          </w:tcPr>
          <w:p w14:paraId="59A1C3F4">
            <w:pPr>
              <w:pStyle w:val="23"/>
              <w:bidi w:val="0"/>
              <w:rPr>
                <w:rFonts w:hint="default" w:ascii="Times New Roman" w:hAnsi="Times New Roman" w:cs="Times New Roman"/>
                <w:color w:val="auto"/>
              </w:rPr>
            </w:pPr>
            <w:r>
              <w:rPr>
                <w:rFonts w:hint="default" w:ascii="Times New Roman" w:hAnsi="Times New Roman" w:cs="Times New Roman"/>
                <w:color w:val="auto"/>
              </w:rPr>
              <w:t>回用到生产工艺中</w:t>
            </w:r>
          </w:p>
        </w:tc>
        <w:tc>
          <w:tcPr>
            <w:tcW w:w="4881" w:type="dxa"/>
            <w:tcBorders>
              <w:right w:val="single" w:color="000000" w:sz="2" w:space="0"/>
            </w:tcBorders>
            <w:vAlign w:val="center"/>
          </w:tcPr>
          <w:p w14:paraId="40DEB46E">
            <w:pPr>
              <w:pStyle w:val="23"/>
              <w:bidi w:val="0"/>
              <w:rPr>
                <w:rFonts w:hint="default" w:ascii="Times New Roman" w:hAnsi="Times New Roman" w:cs="Times New Roman"/>
                <w:color w:val="auto"/>
              </w:rPr>
            </w:pPr>
            <w:r>
              <w:rPr>
                <w:rFonts w:hint="default" w:ascii="Times New Roman" w:hAnsi="Times New Roman" w:cs="Times New Roman"/>
                <w:color w:val="auto"/>
              </w:rPr>
              <w:t>回用到生产工艺中</w:t>
            </w:r>
          </w:p>
        </w:tc>
        <w:tc>
          <w:tcPr>
            <w:tcW w:w="1587" w:type="dxa"/>
            <w:tcBorders>
              <w:left w:val="single" w:color="000000" w:sz="2" w:space="0"/>
              <w:right w:val="nil"/>
            </w:tcBorders>
            <w:vAlign w:val="center"/>
          </w:tcPr>
          <w:p w14:paraId="2D0F2FCE">
            <w:pPr>
              <w:pStyle w:val="23"/>
              <w:bidi w:val="0"/>
              <w:rPr>
                <w:rFonts w:hint="default" w:ascii="Times New Roman" w:hAnsi="Times New Roman" w:cs="Times New Roman"/>
                <w:color w:val="auto"/>
              </w:rPr>
            </w:pPr>
            <w:r>
              <w:rPr>
                <w:rFonts w:hint="eastAsia" w:cs="Times New Roman"/>
                <w:color w:val="auto"/>
                <w:lang w:val="en-US" w:eastAsia="zh-CN"/>
              </w:rPr>
              <w:t>已落实</w:t>
            </w:r>
          </w:p>
        </w:tc>
      </w:tr>
      <w:tr w14:paraId="4694A2C9">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vMerge w:val="continue"/>
            <w:tcBorders>
              <w:top w:val="single" w:color="auto" w:sz="4" w:space="0"/>
              <w:left w:val="nil"/>
              <w:bottom w:val="single" w:color="auto" w:sz="4" w:space="0"/>
            </w:tcBorders>
            <w:vAlign w:val="center"/>
          </w:tcPr>
          <w:p w14:paraId="6171726E">
            <w:pPr>
              <w:pStyle w:val="23"/>
              <w:bidi w:val="0"/>
              <w:rPr>
                <w:rFonts w:hint="default" w:ascii="Times New Roman" w:hAnsi="Times New Roman" w:cs="Times New Roman"/>
                <w:color w:val="auto"/>
              </w:rPr>
            </w:pPr>
          </w:p>
        </w:tc>
        <w:tc>
          <w:tcPr>
            <w:tcW w:w="1862" w:type="dxa"/>
            <w:vAlign w:val="center"/>
          </w:tcPr>
          <w:p w14:paraId="1459D6C0">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回用池沉淀渣</w:t>
            </w:r>
          </w:p>
        </w:tc>
        <w:tc>
          <w:tcPr>
            <w:tcW w:w="4920" w:type="dxa"/>
            <w:vAlign w:val="center"/>
          </w:tcPr>
          <w:p w14:paraId="0A84A958">
            <w:pPr>
              <w:pStyle w:val="23"/>
              <w:bidi w:val="0"/>
              <w:rPr>
                <w:rFonts w:hint="default" w:ascii="Times New Roman" w:hAnsi="Times New Roman" w:cs="Times New Roman"/>
                <w:color w:val="auto"/>
              </w:rPr>
            </w:pPr>
            <w:r>
              <w:rPr>
                <w:rFonts w:hint="default" w:ascii="Times New Roman" w:hAnsi="Times New Roman" w:cs="Times New Roman"/>
                <w:color w:val="auto"/>
              </w:rPr>
              <w:t>经破碎后再回到生产工艺中</w:t>
            </w:r>
          </w:p>
        </w:tc>
        <w:tc>
          <w:tcPr>
            <w:tcW w:w="4881" w:type="dxa"/>
            <w:tcBorders>
              <w:right w:val="single" w:color="000000" w:sz="2" w:space="0"/>
            </w:tcBorders>
            <w:vAlign w:val="center"/>
          </w:tcPr>
          <w:p w14:paraId="26E91345">
            <w:pPr>
              <w:pStyle w:val="23"/>
              <w:bidi w:val="0"/>
              <w:rPr>
                <w:rFonts w:hint="default" w:ascii="Times New Roman" w:hAnsi="Times New Roman" w:cs="Times New Roman"/>
                <w:color w:val="auto"/>
              </w:rPr>
            </w:pPr>
            <w:r>
              <w:rPr>
                <w:rFonts w:hint="default" w:ascii="Times New Roman" w:hAnsi="Times New Roman" w:cs="Times New Roman"/>
                <w:color w:val="auto"/>
              </w:rPr>
              <w:t>回到工艺固化螯合</w:t>
            </w:r>
          </w:p>
        </w:tc>
        <w:tc>
          <w:tcPr>
            <w:tcW w:w="1587" w:type="dxa"/>
            <w:tcBorders>
              <w:left w:val="single" w:color="000000" w:sz="2" w:space="0"/>
              <w:right w:val="nil"/>
            </w:tcBorders>
            <w:vAlign w:val="center"/>
          </w:tcPr>
          <w:p w14:paraId="66180158">
            <w:pPr>
              <w:pStyle w:val="23"/>
              <w:bidi w:val="0"/>
              <w:rPr>
                <w:rFonts w:hint="default" w:ascii="Times New Roman" w:hAnsi="Times New Roman" w:cs="Times New Roman"/>
                <w:color w:val="auto"/>
              </w:rPr>
            </w:pPr>
            <w:r>
              <w:rPr>
                <w:rFonts w:hint="eastAsia" w:cs="Times New Roman"/>
                <w:color w:val="auto"/>
                <w:lang w:val="en-US" w:eastAsia="zh-CN"/>
              </w:rPr>
              <w:t>已落实</w:t>
            </w:r>
          </w:p>
        </w:tc>
      </w:tr>
      <w:tr w14:paraId="1FCF632A">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vMerge w:val="continue"/>
            <w:tcBorders>
              <w:top w:val="single" w:color="auto" w:sz="4" w:space="0"/>
              <w:left w:val="nil"/>
              <w:bottom w:val="single" w:color="auto" w:sz="4" w:space="0"/>
            </w:tcBorders>
            <w:vAlign w:val="center"/>
          </w:tcPr>
          <w:p w14:paraId="0E28250B">
            <w:pPr>
              <w:pStyle w:val="23"/>
              <w:bidi w:val="0"/>
              <w:rPr>
                <w:rFonts w:hint="default" w:ascii="Times New Roman" w:hAnsi="Times New Roman" w:cs="Times New Roman"/>
                <w:color w:val="auto"/>
              </w:rPr>
            </w:pPr>
          </w:p>
        </w:tc>
        <w:tc>
          <w:tcPr>
            <w:tcW w:w="1862" w:type="dxa"/>
            <w:vAlign w:val="center"/>
          </w:tcPr>
          <w:p w14:paraId="520B54F9">
            <w:pPr>
              <w:pStyle w:val="23"/>
              <w:bidi w:val="0"/>
              <w:rPr>
                <w:rFonts w:hint="default" w:ascii="Times New Roman" w:hAnsi="Times New Roman" w:cs="Times New Roman"/>
                <w:color w:val="auto"/>
              </w:rPr>
            </w:pPr>
            <w:r>
              <w:rPr>
                <w:rFonts w:hint="default" w:ascii="Times New Roman" w:hAnsi="Times New Roman" w:cs="Times New Roman"/>
                <w:color w:val="auto"/>
              </w:rPr>
              <w:t>不合格的飞灰固化物</w:t>
            </w:r>
          </w:p>
        </w:tc>
        <w:tc>
          <w:tcPr>
            <w:tcW w:w="4920" w:type="dxa"/>
            <w:vAlign w:val="center"/>
          </w:tcPr>
          <w:p w14:paraId="5D4CEA9A">
            <w:pPr>
              <w:pStyle w:val="23"/>
              <w:bidi w:val="0"/>
              <w:jc w:val="left"/>
              <w:rPr>
                <w:rFonts w:hint="default" w:ascii="Times New Roman" w:hAnsi="Times New Roman" w:eastAsia="宋体" w:cs="Times New Roman"/>
                <w:color w:val="auto"/>
                <w:lang w:eastAsia="zh-CN"/>
              </w:rPr>
            </w:pPr>
            <w:r>
              <w:rPr>
                <w:rFonts w:hint="default" w:ascii="Times New Roman" w:hAnsi="Times New Roman" w:cs="Times New Roman"/>
                <w:color w:val="auto"/>
              </w:rPr>
              <w:t>经破碎后再回到生产工艺中，通过螯合处理合格，飞灰固化物经养护符合</w:t>
            </w:r>
            <w:r>
              <w:rPr>
                <w:rFonts w:hint="default" w:ascii="Times New Roman" w:hAnsi="Times New Roman" w:cs="Times New Roman"/>
                <w:color w:val="auto"/>
                <w:lang w:eastAsia="zh-CN"/>
              </w:rPr>
              <w:t>GB16889-2024</w:t>
            </w:r>
            <w:r>
              <w:rPr>
                <w:rFonts w:hint="default" w:ascii="Times New Roman" w:hAnsi="Times New Roman" w:cs="Times New Roman"/>
                <w:color w:val="auto"/>
              </w:rPr>
              <w:t>的要求后方可外运至填埋场</w:t>
            </w:r>
            <w:r>
              <w:rPr>
                <w:rFonts w:hint="default" w:ascii="Times New Roman" w:hAnsi="Times New Roman" w:cs="Times New Roman"/>
                <w:color w:val="auto"/>
                <w:lang w:eastAsia="zh-CN"/>
              </w:rPr>
              <w:t>。</w:t>
            </w:r>
          </w:p>
        </w:tc>
        <w:tc>
          <w:tcPr>
            <w:tcW w:w="4881" w:type="dxa"/>
            <w:tcBorders>
              <w:right w:val="single" w:color="000000" w:sz="2" w:space="0"/>
            </w:tcBorders>
            <w:vAlign w:val="center"/>
          </w:tcPr>
          <w:p w14:paraId="535F6CAC">
            <w:pPr>
              <w:pStyle w:val="23"/>
              <w:bidi w:val="0"/>
              <w:jc w:val="left"/>
              <w:rPr>
                <w:rFonts w:hint="default" w:ascii="Times New Roman" w:hAnsi="Times New Roman" w:cs="Times New Roman"/>
                <w:color w:val="auto"/>
                <w:lang w:eastAsia="zh-CN"/>
              </w:rPr>
            </w:pPr>
            <w:r>
              <w:rPr>
                <w:rFonts w:hint="default" w:ascii="Times New Roman" w:hAnsi="Times New Roman" w:cs="Times New Roman"/>
                <w:color w:val="auto"/>
              </w:rPr>
              <w:t>经破碎后再回到生产工艺中，通过螯合处理合格，飞灰固化物经养护符合</w:t>
            </w:r>
            <w:r>
              <w:rPr>
                <w:rFonts w:hint="default" w:ascii="Times New Roman" w:hAnsi="Times New Roman" w:cs="Times New Roman"/>
                <w:color w:val="auto"/>
                <w:lang w:eastAsia="zh-CN"/>
              </w:rPr>
              <w:t>GB16889-2024</w:t>
            </w:r>
            <w:r>
              <w:rPr>
                <w:rFonts w:hint="default" w:ascii="Times New Roman" w:hAnsi="Times New Roman" w:cs="Times New Roman"/>
                <w:color w:val="auto"/>
              </w:rPr>
              <w:t>的要求后外运至填埋场</w:t>
            </w:r>
            <w:r>
              <w:rPr>
                <w:rFonts w:hint="default" w:ascii="Times New Roman" w:hAnsi="Times New Roman" w:cs="Times New Roman"/>
                <w:color w:val="auto"/>
                <w:lang w:eastAsia="zh-CN"/>
              </w:rPr>
              <w:t>。</w:t>
            </w:r>
          </w:p>
        </w:tc>
        <w:tc>
          <w:tcPr>
            <w:tcW w:w="1587" w:type="dxa"/>
            <w:tcBorders>
              <w:left w:val="single" w:color="000000" w:sz="2" w:space="0"/>
              <w:right w:val="nil"/>
            </w:tcBorders>
            <w:vAlign w:val="center"/>
          </w:tcPr>
          <w:p w14:paraId="01DC9C6C">
            <w:pPr>
              <w:pStyle w:val="23"/>
              <w:bidi w:val="0"/>
              <w:rPr>
                <w:rFonts w:hint="default" w:ascii="Times New Roman" w:hAnsi="Times New Roman" w:cs="Times New Roman"/>
                <w:color w:val="auto"/>
              </w:rPr>
            </w:pPr>
            <w:r>
              <w:rPr>
                <w:rFonts w:hint="eastAsia" w:cs="Times New Roman"/>
                <w:color w:val="auto"/>
                <w:lang w:val="en-US" w:eastAsia="zh-CN"/>
              </w:rPr>
              <w:t>已落实</w:t>
            </w:r>
          </w:p>
        </w:tc>
      </w:tr>
      <w:tr w14:paraId="0EA50506">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vMerge w:val="restart"/>
            <w:tcBorders>
              <w:top w:val="single" w:color="auto" w:sz="4" w:space="0"/>
              <w:left w:val="nil"/>
            </w:tcBorders>
            <w:vAlign w:val="center"/>
          </w:tcPr>
          <w:p w14:paraId="5743FC8B">
            <w:pPr>
              <w:pStyle w:val="23"/>
              <w:bidi w:val="0"/>
              <w:rPr>
                <w:rFonts w:hint="default" w:ascii="Times New Roman" w:hAnsi="Times New Roman" w:cs="Times New Roman"/>
                <w:color w:val="auto"/>
              </w:rPr>
            </w:pPr>
            <w:r>
              <w:rPr>
                <w:rFonts w:hint="default" w:ascii="Times New Roman" w:hAnsi="Times New Roman" w:cs="Times New Roman"/>
                <w:color w:val="auto"/>
              </w:rPr>
              <w:t>地下水和土壤</w:t>
            </w:r>
          </w:p>
        </w:tc>
        <w:tc>
          <w:tcPr>
            <w:tcW w:w="1862" w:type="dxa"/>
            <w:vMerge w:val="restart"/>
            <w:vAlign w:val="center"/>
          </w:tcPr>
          <w:p w14:paraId="0ED23A98">
            <w:pPr>
              <w:pStyle w:val="23"/>
              <w:bidi w:val="0"/>
              <w:rPr>
                <w:rFonts w:hint="default" w:ascii="Times New Roman" w:hAnsi="Times New Roman" w:cs="Times New Roman"/>
                <w:color w:val="auto"/>
              </w:rPr>
            </w:pPr>
            <w:r>
              <w:rPr>
                <w:rFonts w:hint="default" w:ascii="Times New Roman" w:hAnsi="Times New Roman" w:cs="Times New Roman"/>
                <w:color w:val="auto"/>
              </w:rPr>
              <w:t>污水池泄露</w:t>
            </w:r>
          </w:p>
        </w:tc>
        <w:tc>
          <w:tcPr>
            <w:tcW w:w="4920" w:type="dxa"/>
            <w:vAlign w:val="center"/>
          </w:tcPr>
          <w:p w14:paraId="1CFD0E57">
            <w:pPr>
              <w:pStyle w:val="23"/>
              <w:bidi w:val="0"/>
              <w:jc w:val="left"/>
              <w:rPr>
                <w:rFonts w:hint="default" w:ascii="Times New Roman" w:hAnsi="Times New Roman" w:eastAsia="宋体" w:cs="Times New Roman"/>
                <w:color w:val="auto"/>
                <w:lang w:eastAsia="zh-CN"/>
              </w:rPr>
            </w:pPr>
            <w:r>
              <w:rPr>
                <w:rFonts w:hint="default" w:ascii="Times New Roman" w:hAnsi="Times New Roman" w:cs="Times New Roman"/>
                <w:color w:val="auto"/>
              </w:rPr>
              <w:t>加强管理减少跑冒滴漏，加强现有污染区地面的防渗措施和泄漏、渗漏污染物收集措施，分区防渗，应急响应措施</w:t>
            </w:r>
            <w:r>
              <w:rPr>
                <w:rFonts w:hint="default" w:ascii="Times New Roman" w:hAnsi="Times New Roman" w:cs="Times New Roman"/>
                <w:color w:val="auto"/>
                <w:lang w:eastAsia="zh-CN"/>
              </w:rPr>
              <w:t>。</w:t>
            </w:r>
          </w:p>
        </w:tc>
        <w:tc>
          <w:tcPr>
            <w:tcW w:w="4881" w:type="dxa"/>
            <w:tcBorders>
              <w:right w:val="single" w:color="000000" w:sz="2" w:space="0"/>
            </w:tcBorders>
            <w:vAlign w:val="center"/>
          </w:tcPr>
          <w:p w14:paraId="711B0FD9">
            <w:pPr>
              <w:pStyle w:val="23"/>
              <w:bidi w:val="0"/>
              <w:jc w:val="left"/>
              <w:rPr>
                <w:rFonts w:hint="default" w:ascii="Times New Roman" w:hAnsi="Times New Roman" w:cs="Times New Roman"/>
                <w:color w:val="auto"/>
                <w:lang w:eastAsia="zh-CN"/>
              </w:rPr>
            </w:pPr>
            <w:r>
              <w:rPr>
                <w:rFonts w:hint="default" w:ascii="Times New Roman" w:hAnsi="Times New Roman" w:cs="Times New Roman"/>
                <w:color w:val="auto"/>
              </w:rPr>
              <w:t>加强管理减少跑冒滴漏，加强现有污染区地面的防渗措施和泄漏、渗漏污染物收集措施，分区防渗，应急响应措施</w:t>
            </w:r>
            <w:r>
              <w:rPr>
                <w:rFonts w:hint="default" w:ascii="Times New Roman" w:hAnsi="Times New Roman" w:cs="Times New Roman"/>
                <w:color w:val="auto"/>
                <w:lang w:eastAsia="zh-CN"/>
              </w:rPr>
              <w:t>。</w:t>
            </w:r>
          </w:p>
        </w:tc>
        <w:tc>
          <w:tcPr>
            <w:tcW w:w="1587" w:type="dxa"/>
            <w:tcBorders>
              <w:left w:val="single" w:color="000000" w:sz="2" w:space="0"/>
              <w:right w:val="nil"/>
            </w:tcBorders>
            <w:vAlign w:val="center"/>
          </w:tcPr>
          <w:p w14:paraId="3A98BCC6">
            <w:pPr>
              <w:pStyle w:val="23"/>
              <w:bidi w:val="0"/>
              <w:rPr>
                <w:rFonts w:hint="default" w:ascii="Times New Roman" w:hAnsi="Times New Roman" w:cs="Times New Roman"/>
                <w:color w:val="auto"/>
              </w:rPr>
            </w:pPr>
            <w:r>
              <w:rPr>
                <w:rFonts w:hint="eastAsia" w:cs="Times New Roman"/>
                <w:color w:val="auto"/>
                <w:lang w:val="en-US" w:eastAsia="zh-CN"/>
              </w:rPr>
              <w:t>已落实</w:t>
            </w:r>
          </w:p>
        </w:tc>
      </w:tr>
      <w:tr w14:paraId="0AF2292D">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vMerge w:val="continue"/>
            <w:tcBorders>
              <w:left w:val="nil"/>
            </w:tcBorders>
            <w:vAlign w:val="center"/>
          </w:tcPr>
          <w:p w14:paraId="14C26D31">
            <w:pPr>
              <w:pStyle w:val="23"/>
              <w:bidi w:val="0"/>
              <w:rPr>
                <w:rFonts w:hint="default" w:ascii="Times New Roman" w:hAnsi="Times New Roman" w:cs="Times New Roman"/>
                <w:color w:val="auto"/>
              </w:rPr>
            </w:pPr>
          </w:p>
        </w:tc>
        <w:tc>
          <w:tcPr>
            <w:tcW w:w="1862" w:type="dxa"/>
            <w:vMerge w:val="continue"/>
            <w:vAlign w:val="center"/>
          </w:tcPr>
          <w:p w14:paraId="34D76B53">
            <w:pPr>
              <w:pStyle w:val="23"/>
              <w:bidi w:val="0"/>
              <w:rPr>
                <w:rFonts w:hint="default" w:ascii="Times New Roman" w:hAnsi="Times New Roman" w:cs="Times New Roman"/>
                <w:color w:val="auto"/>
              </w:rPr>
            </w:pPr>
          </w:p>
        </w:tc>
        <w:tc>
          <w:tcPr>
            <w:tcW w:w="4920" w:type="dxa"/>
            <w:vAlign w:val="center"/>
          </w:tcPr>
          <w:p w14:paraId="44296271">
            <w:pPr>
              <w:pStyle w:val="23"/>
              <w:bidi w:val="0"/>
              <w:jc w:val="left"/>
              <w:rPr>
                <w:rFonts w:hint="default" w:ascii="Times New Roman" w:hAnsi="Times New Roman" w:cs="Times New Roman"/>
                <w:color w:val="auto"/>
              </w:rPr>
            </w:pPr>
            <w:r>
              <w:rPr>
                <w:rFonts w:hint="default" w:ascii="Times New Roman" w:hAnsi="Times New Roman" w:cs="Times New Roman"/>
                <w:color w:val="auto"/>
                <w:lang w:val="en-US" w:eastAsia="zh-CN"/>
              </w:rPr>
              <w:t>①</w:t>
            </w:r>
            <w:r>
              <w:rPr>
                <w:rFonts w:hint="default" w:ascii="Times New Roman" w:hAnsi="Times New Roman" w:cs="Times New Roman"/>
                <w:color w:val="auto"/>
              </w:rPr>
              <w:t>建立地下水及土壤的环境影响跟踪监测制度，制定监测计划，并按规范要求实施。</w:t>
            </w:r>
          </w:p>
          <w:p w14:paraId="52B8FD02">
            <w:pPr>
              <w:pStyle w:val="23"/>
              <w:bidi w:val="0"/>
              <w:jc w:val="left"/>
              <w:rPr>
                <w:rFonts w:hint="default" w:ascii="Times New Roman" w:hAnsi="Times New Roman" w:cs="Times New Roman"/>
                <w:color w:val="auto"/>
              </w:rPr>
            </w:pPr>
            <w:r>
              <w:rPr>
                <w:rFonts w:hint="default" w:ascii="Times New Roman" w:hAnsi="Times New Roman" w:cs="Times New Roman"/>
                <w:color w:val="auto"/>
                <w:lang w:val="en-US" w:eastAsia="zh-CN"/>
              </w:rPr>
              <w:t>②</w:t>
            </w:r>
            <w:r>
              <w:rPr>
                <w:rFonts w:hint="default" w:ascii="Times New Roman" w:hAnsi="Times New Roman" w:cs="Times New Roman"/>
                <w:color w:val="auto"/>
              </w:rPr>
              <w:t>对地下水与土壤监测结果应按项目有关规定及时建立档案，并定期向厂安全环保部门汇报，对于常规监测数据应该进行公开。</w:t>
            </w:r>
          </w:p>
        </w:tc>
        <w:tc>
          <w:tcPr>
            <w:tcW w:w="4881" w:type="dxa"/>
            <w:tcBorders>
              <w:right w:val="single" w:color="000000" w:sz="2" w:space="0"/>
            </w:tcBorders>
            <w:vAlign w:val="center"/>
          </w:tcPr>
          <w:p w14:paraId="59A1C158">
            <w:pPr>
              <w:pStyle w:val="23"/>
              <w:bidi w:val="0"/>
              <w:jc w:val="left"/>
              <w:rPr>
                <w:rFonts w:hint="default" w:ascii="Times New Roman" w:hAnsi="Times New Roman" w:cs="Times New Roman"/>
                <w:color w:val="auto"/>
              </w:rPr>
            </w:pPr>
            <w:r>
              <w:rPr>
                <w:rFonts w:hint="default" w:ascii="Times New Roman" w:hAnsi="Times New Roman" w:cs="Times New Roman"/>
                <w:color w:val="auto"/>
                <w:lang w:val="en-US" w:eastAsia="zh-CN"/>
              </w:rPr>
              <w:t>①已</w:t>
            </w:r>
            <w:r>
              <w:rPr>
                <w:rFonts w:hint="default" w:ascii="Times New Roman" w:hAnsi="Times New Roman" w:cs="Times New Roman"/>
                <w:color w:val="auto"/>
              </w:rPr>
              <w:t>建立地下水及土壤的环境影响跟踪监测制度，制定监测计划，并按规范要求实施。</w:t>
            </w:r>
          </w:p>
          <w:p w14:paraId="691BC0E1">
            <w:pPr>
              <w:pStyle w:val="23"/>
              <w:bidi w:val="0"/>
              <w:jc w:val="left"/>
              <w:rPr>
                <w:rFonts w:hint="default" w:ascii="Times New Roman" w:hAnsi="Times New Roman" w:cs="Times New Roman"/>
                <w:color w:val="auto"/>
              </w:rPr>
            </w:pPr>
            <w:r>
              <w:rPr>
                <w:rFonts w:hint="default" w:ascii="Times New Roman" w:hAnsi="Times New Roman" w:cs="Times New Roman"/>
                <w:color w:val="auto"/>
                <w:lang w:val="en-US" w:eastAsia="zh-CN"/>
              </w:rPr>
              <w:t>②</w:t>
            </w:r>
            <w:r>
              <w:rPr>
                <w:rFonts w:hint="default" w:ascii="Times New Roman" w:hAnsi="Times New Roman" w:cs="Times New Roman"/>
                <w:color w:val="auto"/>
              </w:rPr>
              <w:t>对地下水与土壤监测结果</w:t>
            </w:r>
            <w:r>
              <w:rPr>
                <w:rFonts w:hint="default" w:ascii="Times New Roman" w:hAnsi="Times New Roman" w:cs="Times New Roman"/>
                <w:color w:val="auto"/>
                <w:lang w:val="en-US" w:eastAsia="zh-CN"/>
              </w:rPr>
              <w:t>已</w:t>
            </w:r>
            <w:r>
              <w:rPr>
                <w:rFonts w:hint="default" w:ascii="Times New Roman" w:hAnsi="Times New Roman" w:cs="Times New Roman"/>
                <w:color w:val="auto"/>
              </w:rPr>
              <w:t>按项目有关规定及时建立档案，并定期向厂安全环保部门汇报，对于常规监测数据应该进行公开。</w:t>
            </w:r>
          </w:p>
        </w:tc>
        <w:tc>
          <w:tcPr>
            <w:tcW w:w="1587" w:type="dxa"/>
            <w:tcBorders>
              <w:left w:val="single" w:color="000000" w:sz="2" w:space="0"/>
              <w:right w:val="nil"/>
            </w:tcBorders>
            <w:vAlign w:val="center"/>
          </w:tcPr>
          <w:p w14:paraId="02BD1F8F">
            <w:pPr>
              <w:pStyle w:val="23"/>
              <w:bidi w:val="0"/>
              <w:rPr>
                <w:rFonts w:hint="default" w:ascii="Times New Roman" w:hAnsi="Times New Roman" w:cs="Times New Roman"/>
                <w:color w:val="auto"/>
              </w:rPr>
            </w:pPr>
            <w:r>
              <w:rPr>
                <w:rFonts w:hint="eastAsia" w:cs="Times New Roman"/>
                <w:color w:val="auto"/>
                <w:lang w:val="en-US" w:eastAsia="zh-CN"/>
              </w:rPr>
              <w:t>已落实</w:t>
            </w:r>
          </w:p>
        </w:tc>
      </w:tr>
      <w:tr w14:paraId="2D78197C">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tcBorders>
              <w:left w:val="nil"/>
            </w:tcBorders>
            <w:vAlign w:val="center"/>
          </w:tcPr>
          <w:p w14:paraId="51797B87">
            <w:pPr>
              <w:pStyle w:val="23"/>
              <w:bidi w:val="0"/>
              <w:rPr>
                <w:rFonts w:hint="default" w:ascii="Times New Roman" w:hAnsi="Times New Roman" w:cs="Times New Roman"/>
                <w:color w:val="auto"/>
              </w:rPr>
            </w:pPr>
            <w:r>
              <w:rPr>
                <w:rFonts w:hint="default" w:ascii="Times New Roman" w:hAnsi="Times New Roman" w:cs="Times New Roman"/>
                <w:color w:val="auto"/>
              </w:rPr>
              <w:t>环境风险</w:t>
            </w:r>
          </w:p>
        </w:tc>
        <w:tc>
          <w:tcPr>
            <w:tcW w:w="6782" w:type="dxa"/>
            <w:gridSpan w:val="2"/>
            <w:vAlign w:val="center"/>
          </w:tcPr>
          <w:p w14:paraId="4495E7F7">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rPr>
              <w:t>飞灰筒仓除尘器分隔仓设置，滤袋设压差仪；落料点和扬尘点配喷淋装置；设置生产废水回用收集槽</w:t>
            </w:r>
            <w:r>
              <w:rPr>
                <w:rFonts w:hint="default" w:ascii="Times New Roman" w:hAnsi="Times New Roman" w:cs="Times New Roman"/>
                <w:color w:val="auto"/>
                <w:lang w:val="en-US" w:eastAsia="zh-CN"/>
              </w:rPr>
              <w:t>及回用池，</w:t>
            </w:r>
            <w:r>
              <w:rPr>
                <w:rFonts w:hint="default" w:ascii="Times New Roman" w:hAnsi="Times New Roman" w:cs="Times New Roman"/>
                <w:color w:val="auto"/>
              </w:rPr>
              <w:t>与专门废水回收罐，用于临时收集冲洗水等；预处理厂房地面采用水泥基渗透结晶性涂料防水层防渗；生产设备的关键部分采用耐腐的进口材料和设备；严格实施的飞灰稳定化产品的检验制度，确保达到入场填埋要求；加强规范化管理，切实落实</w:t>
            </w:r>
            <w:r>
              <w:rPr>
                <w:rFonts w:hint="eastAsia" w:cs="Times New Roman"/>
                <w:color w:val="auto"/>
                <w:lang w:eastAsia="zh-CN"/>
              </w:rPr>
              <w:t>“</w:t>
            </w:r>
            <w:r>
              <w:rPr>
                <w:rFonts w:hint="default" w:ascii="Times New Roman" w:hAnsi="Times New Roman" w:cs="Times New Roman"/>
                <w:color w:val="auto"/>
              </w:rPr>
              <w:t>工可报告</w:t>
            </w:r>
            <w:r>
              <w:rPr>
                <w:rFonts w:hint="eastAsia" w:cs="Times New Roman"/>
                <w:color w:val="auto"/>
                <w:lang w:eastAsia="zh-CN"/>
              </w:rPr>
              <w:t>”</w:t>
            </w:r>
            <w:r>
              <w:rPr>
                <w:rFonts w:hint="default" w:ascii="Times New Roman" w:hAnsi="Times New Roman" w:cs="Times New Roman"/>
                <w:color w:val="auto"/>
              </w:rPr>
              <w:t>、</w:t>
            </w:r>
            <w:r>
              <w:rPr>
                <w:rFonts w:hint="eastAsia" w:cs="Times New Roman"/>
                <w:color w:val="auto"/>
                <w:lang w:eastAsia="zh-CN"/>
              </w:rPr>
              <w:t>“</w:t>
            </w:r>
            <w:r>
              <w:rPr>
                <w:rFonts w:hint="default" w:ascii="Times New Roman" w:hAnsi="Times New Roman" w:cs="Times New Roman"/>
                <w:color w:val="auto"/>
              </w:rPr>
              <w:t>施工设计</w:t>
            </w:r>
            <w:r>
              <w:rPr>
                <w:rFonts w:hint="eastAsia" w:cs="Times New Roman"/>
                <w:color w:val="auto"/>
                <w:lang w:eastAsia="zh-CN"/>
              </w:rPr>
              <w:t>”</w:t>
            </w:r>
            <w:r>
              <w:rPr>
                <w:rFonts w:hint="default" w:ascii="Times New Roman" w:hAnsi="Times New Roman" w:cs="Times New Roman"/>
                <w:color w:val="auto"/>
              </w:rPr>
              <w:t>、</w:t>
            </w:r>
            <w:r>
              <w:rPr>
                <w:rFonts w:hint="eastAsia" w:cs="Times New Roman"/>
                <w:color w:val="auto"/>
                <w:lang w:eastAsia="zh-CN"/>
              </w:rPr>
              <w:t>“</w:t>
            </w:r>
            <w:r>
              <w:rPr>
                <w:rFonts w:hint="default" w:ascii="Times New Roman" w:hAnsi="Times New Roman" w:cs="Times New Roman"/>
                <w:color w:val="auto"/>
              </w:rPr>
              <w:t>环评报告</w:t>
            </w:r>
            <w:r>
              <w:rPr>
                <w:rFonts w:hint="eastAsia" w:cs="Times New Roman"/>
                <w:color w:val="auto"/>
                <w:lang w:eastAsia="zh-CN"/>
              </w:rPr>
              <w:t>”</w:t>
            </w:r>
            <w:r>
              <w:rPr>
                <w:rFonts w:hint="default" w:ascii="Times New Roman" w:hAnsi="Times New Roman" w:cs="Times New Roman"/>
                <w:color w:val="auto"/>
              </w:rPr>
              <w:t>提出的风险防范措施；根据实际情况修编《应急预案》。</w:t>
            </w:r>
            <w:r>
              <w:rPr>
                <w:rFonts w:hint="default" w:ascii="Times New Roman" w:hAnsi="Times New Roman" w:cs="Times New Roman"/>
                <w:color w:val="auto"/>
                <w:lang w:val="en-US" w:eastAsia="zh-CN"/>
              </w:rPr>
              <w:t>新建一座277m³事故应急池，新建一座230m³初期雨水收集池。</w:t>
            </w:r>
          </w:p>
        </w:tc>
        <w:tc>
          <w:tcPr>
            <w:tcW w:w="4881" w:type="dxa"/>
            <w:tcBorders>
              <w:right w:val="single" w:color="000000" w:sz="2" w:space="0"/>
            </w:tcBorders>
            <w:vAlign w:val="center"/>
          </w:tcPr>
          <w:p w14:paraId="62BF9B55">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rPr>
              <w:t>飞灰筒仓除尘器分隔仓设置；设置生产废水回用收集槽</w:t>
            </w:r>
            <w:r>
              <w:rPr>
                <w:rFonts w:hint="default" w:ascii="Times New Roman" w:hAnsi="Times New Roman" w:cs="Times New Roman"/>
                <w:color w:val="auto"/>
                <w:lang w:val="en-US" w:eastAsia="zh-CN"/>
              </w:rPr>
              <w:t>及回用池，</w:t>
            </w:r>
            <w:r>
              <w:rPr>
                <w:rFonts w:hint="default" w:ascii="Times New Roman" w:hAnsi="Times New Roman" w:cs="Times New Roman"/>
                <w:color w:val="auto"/>
              </w:rPr>
              <w:t>与专门废水回收罐，用于临时收集冲洗水等；预处理厂房地面采用水泥基渗透结晶性涂料防水层防渗；生产设备的关键部分采用耐腐的进口材料和设备；严格实施的飞灰稳定化产品的检验制度，确保达到入场填埋要求；加强规范化管理，切实落实</w:t>
            </w:r>
            <w:r>
              <w:rPr>
                <w:rFonts w:hint="eastAsia" w:cs="Times New Roman"/>
                <w:color w:val="auto"/>
                <w:lang w:eastAsia="zh-CN"/>
              </w:rPr>
              <w:t>“</w:t>
            </w:r>
            <w:r>
              <w:rPr>
                <w:rFonts w:hint="default" w:ascii="Times New Roman" w:hAnsi="Times New Roman" w:cs="Times New Roman"/>
                <w:color w:val="auto"/>
              </w:rPr>
              <w:t>工可报告</w:t>
            </w:r>
            <w:r>
              <w:rPr>
                <w:rFonts w:hint="eastAsia" w:cs="Times New Roman"/>
                <w:color w:val="auto"/>
                <w:lang w:eastAsia="zh-CN"/>
              </w:rPr>
              <w:t>”</w:t>
            </w:r>
            <w:r>
              <w:rPr>
                <w:rFonts w:hint="default" w:ascii="Times New Roman" w:hAnsi="Times New Roman" w:cs="Times New Roman"/>
                <w:color w:val="auto"/>
              </w:rPr>
              <w:t>、</w:t>
            </w:r>
            <w:r>
              <w:rPr>
                <w:rFonts w:hint="eastAsia" w:cs="Times New Roman"/>
                <w:color w:val="auto"/>
                <w:lang w:eastAsia="zh-CN"/>
              </w:rPr>
              <w:t>“</w:t>
            </w:r>
            <w:r>
              <w:rPr>
                <w:rFonts w:hint="default" w:ascii="Times New Roman" w:hAnsi="Times New Roman" w:cs="Times New Roman"/>
                <w:color w:val="auto"/>
              </w:rPr>
              <w:t>施工设计</w:t>
            </w:r>
            <w:r>
              <w:rPr>
                <w:rFonts w:hint="eastAsia" w:cs="Times New Roman"/>
                <w:color w:val="auto"/>
                <w:lang w:eastAsia="zh-CN"/>
              </w:rPr>
              <w:t>”</w:t>
            </w:r>
            <w:r>
              <w:rPr>
                <w:rFonts w:hint="default" w:ascii="Times New Roman" w:hAnsi="Times New Roman" w:cs="Times New Roman"/>
                <w:color w:val="auto"/>
              </w:rPr>
              <w:t>、</w:t>
            </w:r>
            <w:r>
              <w:rPr>
                <w:rFonts w:hint="eastAsia" w:cs="Times New Roman"/>
                <w:color w:val="auto"/>
                <w:lang w:eastAsia="zh-CN"/>
              </w:rPr>
              <w:t>“</w:t>
            </w:r>
            <w:r>
              <w:rPr>
                <w:rFonts w:hint="default" w:ascii="Times New Roman" w:hAnsi="Times New Roman" w:cs="Times New Roman"/>
                <w:color w:val="auto"/>
              </w:rPr>
              <w:t>环评报告</w:t>
            </w:r>
            <w:r>
              <w:rPr>
                <w:rFonts w:hint="eastAsia" w:cs="Times New Roman"/>
                <w:color w:val="auto"/>
                <w:lang w:eastAsia="zh-CN"/>
              </w:rPr>
              <w:t>”</w:t>
            </w:r>
            <w:r>
              <w:rPr>
                <w:rFonts w:hint="default" w:ascii="Times New Roman" w:hAnsi="Times New Roman" w:cs="Times New Roman"/>
                <w:color w:val="auto"/>
              </w:rPr>
              <w:t>提出的风险防范措施；</w:t>
            </w:r>
            <w:r>
              <w:rPr>
                <w:rFonts w:hint="default" w:ascii="Times New Roman" w:hAnsi="Times New Roman" w:cs="Times New Roman"/>
                <w:color w:val="auto"/>
                <w:lang w:val="en-US" w:eastAsia="zh-CN"/>
              </w:rPr>
              <w:t>新建一座</w:t>
            </w:r>
            <w:r>
              <w:rPr>
                <w:rFonts w:hint="eastAsia" w:ascii="Times New Roman" w:hAnsi="Times New Roman" w:cs="Times New Roman"/>
                <w:color w:val="auto"/>
                <w:lang w:val="en-US" w:eastAsia="zh-CN"/>
              </w:rPr>
              <w:t>100</w:t>
            </w:r>
            <w:r>
              <w:rPr>
                <w:rFonts w:hint="default" w:ascii="Times New Roman" w:hAnsi="Times New Roman" w:cs="Times New Roman"/>
                <w:color w:val="auto"/>
                <w:lang w:val="en-US" w:eastAsia="zh-CN"/>
              </w:rPr>
              <w:t>m³事故应急池</w:t>
            </w:r>
            <w:r>
              <w:rPr>
                <w:rFonts w:hint="eastAsia" w:cs="Times New Roman"/>
                <w:color w:val="auto"/>
                <w:lang w:val="en-US" w:eastAsia="zh-CN"/>
              </w:rPr>
              <w:t>，配备应急水泵</w:t>
            </w:r>
            <w:r>
              <w:rPr>
                <w:rFonts w:hint="default" w:ascii="Times New Roman" w:hAnsi="Times New Roman" w:cs="Times New Roman"/>
                <w:color w:val="auto"/>
                <w:lang w:val="en-US" w:eastAsia="zh-CN"/>
              </w:rPr>
              <w:t>。</w:t>
            </w:r>
          </w:p>
        </w:tc>
        <w:tc>
          <w:tcPr>
            <w:tcW w:w="1587" w:type="dxa"/>
            <w:tcBorders>
              <w:left w:val="single" w:color="000000" w:sz="2" w:space="0"/>
              <w:right w:val="nil"/>
            </w:tcBorders>
            <w:vAlign w:val="center"/>
          </w:tcPr>
          <w:p w14:paraId="6535628D">
            <w:pPr>
              <w:pStyle w:val="23"/>
              <w:bidi w:val="0"/>
              <w:rPr>
                <w:rFonts w:hint="default" w:ascii="Times New Roman" w:hAnsi="Times New Roman" w:cs="Times New Roman"/>
                <w:color w:val="auto"/>
              </w:rPr>
            </w:pPr>
            <w:r>
              <w:rPr>
                <w:rFonts w:hint="eastAsia"/>
                <w:color w:val="auto"/>
                <w:lang w:val="en-US" w:eastAsia="zh-CN"/>
              </w:rPr>
              <w:t>根据4.2.1节</w:t>
            </w:r>
            <w:r>
              <w:rPr>
                <w:rFonts w:hint="eastAsia" w:ascii="Times New Roman" w:hAnsi="Times New Roman" w:eastAsia="宋体" w:cs="Times New Roman"/>
                <w:color w:val="auto"/>
                <w:lang w:val="en-US" w:eastAsia="zh-CN"/>
              </w:rPr>
              <w:t>环境风险防范措施计算可知，项目事故废水量为174.34m³，本项目事故废水池容积为220m³，可以满足事故废水暂存，不会对厂区外的环境造成明显的影响，且根据表</w:t>
            </w:r>
            <w:r>
              <w:rPr>
                <w:rFonts w:hint="eastAsia" w:ascii="Times New Roman" w:hAnsi="Times New Roman" w:cs="Times New Roman"/>
                <w:color w:val="auto"/>
                <w:lang w:val="en-US" w:eastAsia="zh-CN"/>
              </w:rPr>
              <w:t>4.3-3可知，无需设置初期雨水池</w:t>
            </w:r>
          </w:p>
        </w:tc>
      </w:tr>
      <w:tr w14:paraId="3542DDA5">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tcBorders>
              <w:left w:val="nil"/>
            </w:tcBorders>
            <w:vAlign w:val="center"/>
          </w:tcPr>
          <w:p w14:paraId="044686EB">
            <w:pPr>
              <w:pStyle w:val="23"/>
              <w:bidi w:val="0"/>
              <w:rPr>
                <w:rFonts w:hint="default" w:ascii="Times New Roman" w:hAnsi="Times New Roman" w:cs="Times New Roman"/>
                <w:color w:val="auto"/>
              </w:rPr>
            </w:pPr>
            <w:r>
              <w:rPr>
                <w:rFonts w:hint="default" w:ascii="Times New Roman" w:hAnsi="Times New Roman" w:cs="Times New Roman"/>
                <w:color w:val="auto"/>
              </w:rPr>
              <w:t>环境管理</w:t>
            </w:r>
          </w:p>
        </w:tc>
        <w:tc>
          <w:tcPr>
            <w:tcW w:w="6782" w:type="dxa"/>
            <w:gridSpan w:val="2"/>
            <w:vAlign w:val="center"/>
          </w:tcPr>
          <w:p w14:paraId="35583C00">
            <w:pPr>
              <w:pStyle w:val="23"/>
              <w:bidi w:val="0"/>
              <w:rPr>
                <w:rFonts w:hint="default" w:ascii="Times New Roman" w:hAnsi="Times New Roman" w:cs="Times New Roman"/>
                <w:color w:val="auto"/>
              </w:rPr>
            </w:pPr>
            <w:r>
              <w:rPr>
                <w:rFonts w:hint="default" w:ascii="Times New Roman" w:hAnsi="Times New Roman" w:cs="Times New Roman"/>
                <w:color w:val="auto"/>
              </w:rPr>
              <w:t>设立专门的环保机构和专职负责人，配备环保人员若干，确定相应的职责和工作计划，负责全厂的环境管理工作，建立有效的环境管理制度，日常生产中落实监测计划。危险废物实行电子联单管理制度，主动信息公开，记录台账，数据保存不能低于</w:t>
            </w:r>
            <w:r>
              <w:rPr>
                <w:rFonts w:hint="default" w:ascii="Times New Roman" w:hAnsi="Times New Roman" w:cs="Times New Roman"/>
                <w:color w:val="auto"/>
                <w:lang w:val="en-US" w:eastAsia="zh-CN"/>
              </w:rPr>
              <w:t>3</w:t>
            </w:r>
            <w:r>
              <w:rPr>
                <w:rFonts w:hint="default" w:ascii="Times New Roman" w:hAnsi="Times New Roman" w:cs="Times New Roman"/>
                <w:color w:val="auto"/>
              </w:rPr>
              <w:t>年。及时变更排污许可证。</w:t>
            </w:r>
          </w:p>
        </w:tc>
        <w:tc>
          <w:tcPr>
            <w:tcW w:w="4881" w:type="dxa"/>
            <w:tcBorders>
              <w:right w:val="single" w:color="000000" w:sz="2" w:space="0"/>
            </w:tcBorders>
            <w:vAlign w:val="center"/>
          </w:tcPr>
          <w:p w14:paraId="15ED2452">
            <w:pPr>
              <w:pStyle w:val="23"/>
              <w:bidi w:val="0"/>
              <w:rPr>
                <w:rFonts w:hint="default" w:ascii="Times New Roman" w:hAnsi="Times New Roman" w:cs="Times New Roman"/>
                <w:color w:val="auto"/>
              </w:rPr>
            </w:pPr>
            <w:r>
              <w:rPr>
                <w:rFonts w:hint="default" w:ascii="Times New Roman" w:hAnsi="Times New Roman" w:cs="Times New Roman"/>
                <w:color w:val="auto"/>
              </w:rPr>
              <w:t>设立专门的环保机构和专职负责人，配备环保人员若干，确定相应的职责和工作计划，负责全厂的环境管理工作，建立有效的环境管理制度，日常生产中落实监测计划。危险废物实行电子联单管理制度，主动信息公开，记录台账，数据保存不低于</w:t>
            </w:r>
            <w:r>
              <w:rPr>
                <w:rFonts w:hint="default" w:ascii="Times New Roman" w:hAnsi="Times New Roman" w:cs="Times New Roman"/>
                <w:color w:val="auto"/>
                <w:lang w:val="en-US" w:eastAsia="zh-CN"/>
              </w:rPr>
              <w:t>5</w:t>
            </w:r>
            <w:r>
              <w:rPr>
                <w:rFonts w:hint="default" w:ascii="Times New Roman" w:hAnsi="Times New Roman" w:cs="Times New Roman"/>
                <w:color w:val="auto"/>
              </w:rPr>
              <w:t>年</w:t>
            </w:r>
            <w:r>
              <w:rPr>
                <w:rFonts w:hint="eastAsia" w:cs="Times New Roman"/>
                <w:color w:val="auto"/>
                <w:lang w:eastAsia="zh-CN"/>
              </w:rPr>
              <w:t>，</w:t>
            </w:r>
            <w:r>
              <w:rPr>
                <w:rFonts w:hint="default" w:ascii="Times New Roman" w:hAnsi="Times New Roman" w:cs="Times New Roman"/>
                <w:color w:val="auto"/>
              </w:rPr>
              <w:t>及时变更排污许可证。</w:t>
            </w:r>
          </w:p>
        </w:tc>
        <w:tc>
          <w:tcPr>
            <w:tcW w:w="1587" w:type="dxa"/>
            <w:tcBorders>
              <w:left w:val="single" w:color="000000" w:sz="2" w:space="0"/>
              <w:right w:val="nil"/>
            </w:tcBorders>
            <w:vAlign w:val="center"/>
          </w:tcPr>
          <w:p w14:paraId="1FD5CC7B">
            <w:pPr>
              <w:pStyle w:val="23"/>
              <w:bidi w:val="0"/>
              <w:rPr>
                <w:rFonts w:hint="default" w:ascii="Times New Roman" w:hAnsi="Times New Roman" w:cs="Times New Roman"/>
                <w:color w:val="auto"/>
                <w:lang w:val="en-US" w:eastAsia="zh-CN"/>
              </w:rPr>
            </w:pPr>
            <w:r>
              <w:rPr>
                <w:rFonts w:hint="eastAsia" w:cs="Times New Roman"/>
                <w:color w:val="auto"/>
                <w:lang w:val="en-US" w:eastAsia="zh-CN"/>
              </w:rPr>
              <w:t>已落实</w:t>
            </w:r>
          </w:p>
        </w:tc>
      </w:tr>
      <w:tr w14:paraId="26E97E18">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gridSpan w:val="2"/>
            <w:tcBorders>
              <w:left w:val="nil"/>
            </w:tcBorders>
            <w:vAlign w:val="center"/>
          </w:tcPr>
          <w:p w14:paraId="313F1DA0">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现有问题整改</w:t>
            </w:r>
          </w:p>
        </w:tc>
        <w:tc>
          <w:tcPr>
            <w:tcW w:w="6782" w:type="dxa"/>
            <w:gridSpan w:val="2"/>
            <w:vAlign w:val="center"/>
          </w:tcPr>
          <w:p w14:paraId="6FE6140B">
            <w:pPr>
              <w:pStyle w:val="23"/>
              <w:bidi w:val="0"/>
              <w:jc w:val="left"/>
              <w:rPr>
                <w:rFonts w:hint="default" w:ascii="Times New Roman" w:hAnsi="Times New Roman" w:cs="Times New Roman"/>
                <w:color w:val="auto"/>
              </w:rPr>
            </w:pPr>
            <w:r>
              <w:rPr>
                <w:rFonts w:hint="default" w:ascii="Times New Roman" w:hAnsi="Times New Roman" w:cs="Times New Roman"/>
                <w:color w:val="auto"/>
              </w:rPr>
              <w:t>①备用生产线升级改造</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安装相关环保除尘设备设置符合高度排气筒</w:t>
            </w:r>
            <w:r>
              <w:rPr>
                <w:rFonts w:hint="default" w:ascii="Times New Roman" w:hAnsi="Times New Roman" w:cs="Times New Roman"/>
                <w:color w:val="auto"/>
                <w:lang w:eastAsia="zh-CN"/>
              </w:rPr>
              <w:t>；</w:t>
            </w:r>
            <w:r>
              <w:rPr>
                <w:rFonts w:hint="default" w:ascii="Times New Roman" w:hAnsi="Times New Roman" w:cs="Times New Roman"/>
                <w:color w:val="auto"/>
              </w:rPr>
              <w:t>现有工程破碎机淘汰；</w:t>
            </w:r>
          </w:p>
          <w:p w14:paraId="096C4505">
            <w:pPr>
              <w:pStyle w:val="23"/>
              <w:bidi w:val="0"/>
              <w:jc w:val="left"/>
              <w:rPr>
                <w:rFonts w:hint="default" w:ascii="Times New Roman" w:hAnsi="Times New Roman" w:cs="Times New Roman"/>
                <w:color w:val="auto"/>
              </w:rPr>
            </w:pPr>
            <w:r>
              <w:rPr>
                <w:rFonts w:hint="default" w:ascii="Times New Roman" w:hAnsi="Times New Roman" w:cs="Times New Roman"/>
                <w:color w:val="auto"/>
              </w:rPr>
              <w:t>②对厂区地面防腐层损坏开裂修缮；</w:t>
            </w:r>
          </w:p>
          <w:p w14:paraId="45D3BB47">
            <w:pPr>
              <w:pStyle w:val="23"/>
              <w:bidi w:val="0"/>
              <w:jc w:val="left"/>
              <w:rPr>
                <w:rFonts w:hint="default" w:ascii="Times New Roman" w:hAnsi="Times New Roman" w:cs="Times New Roman"/>
                <w:color w:val="auto"/>
              </w:rPr>
            </w:pPr>
            <w:r>
              <w:rPr>
                <w:rFonts w:hint="default" w:ascii="Times New Roman" w:hAnsi="Times New Roman" w:cs="Times New Roman"/>
                <w:color w:val="auto"/>
              </w:rPr>
              <w:t>③对硬件老旧破损的 1#飞灰预处理厂房进行修缮；</w:t>
            </w:r>
          </w:p>
          <w:p w14:paraId="3457646F">
            <w:pPr>
              <w:pStyle w:val="23"/>
              <w:bidi w:val="0"/>
              <w:jc w:val="left"/>
              <w:rPr>
                <w:rFonts w:hint="default" w:ascii="Times New Roman" w:hAnsi="Times New Roman" w:cs="Times New Roman"/>
                <w:color w:val="auto"/>
              </w:rPr>
            </w:pPr>
            <w:r>
              <w:rPr>
                <w:rFonts w:hint="default" w:ascii="Times New Roman" w:hAnsi="Times New Roman" w:cs="Times New Roman"/>
                <w:color w:val="auto"/>
              </w:rPr>
              <w:t>④及时清理泄漏于厂房内地面飞灰粉尘与油污；</w:t>
            </w:r>
          </w:p>
          <w:p w14:paraId="64A49BA5">
            <w:pPr>
              <w:pStyle w:val="23"/>
              <w:bidi w:val="0"/>
              <w:jc w:val="left"/>
              <w:rPr>
                <w:rFonts w:hint="default" w:ascii="Times New Roman" w:hAnsi="Times New Roman" w:cs="Times New Roman"/>
                <w:color w:val="auto"/>
              </w:rPr>
            </w:pPr>
            <w:r>
              <w:rPr>
                <w:rFonts w:hint="default" w:ascii="Times New Roman" w:hAnsi="Times New Roman" w:cs="Times New Roman"/>
                <w:color w:val="auto"/>
              </w:rPr>
              <w:t>⑤及时处理1#飞灰预处理厂房内收集水槽的积水；</w:t>
            </w:r>
          </w:p>
          <w:p w14:paraId="1EE968B6">
            <w:pPr>
              <w:pStyle w:val="23"/>
              <w:bidi w:val="0"/>
              <w:jc w:val="left"/>
              <w:rPr>
                <w:rFonts w:hint="default" w:ascii="Times New Roman" w:hAnsi="Times New Roman" w:cs="Times New Roman"/>
                <w:color w:val="auto"/>
              </w:rPr>
            </w:pPr>
            <w:r>
              <w:rPr>
                <w:rFonts w:hint="default" w:ascii="Times New Roman" w:hAnsi="Times New Roman" w:cs="Times New Roman"/>
                <w:color w:val="auto"/>
              </w:rPr>
              <w:t>⑥按规范建设厂区应急阀门、加强雨污分流建设；</w:t>
            </w:r>
          </w:p>
          <w:p w14:paraId="30696629">
            <w:pPr>
              <w:pStyle w:val="23"/>
              <w:bidi w:val="0"/>
              <w:jc w:val="left"/>
              <w:rPr>
                <w:rFonts w:hint="default" w:ascii="Times New Roman" w:hAnsi="Times New Roman" w:cs="Times New Roman"/>
                <w:color w:val="auto"/>
              </w:rPr>
            </w:pPr>
            <w:r>
              <w:rPr>
                <w:rFonts w:hint="default" w:ascii="Times New Roman" w:hAnsi="Times New Roman" w:cs="Times New Roman"/>
                <w:color w:val="auto"/>
              </w:rPr>
              <w:t>⑦按规范建设危险废物暂存间；</w:t>
            </w:r>
          </w:p>
          <w:p w14:paraId="3356B12A">
            <w:pPr>
              <w:pStyle w:val="23"/>
              <w:bidi w:val="0"/>
              <w:jc w:val="left"/>
              <w:rPr>
                <w:rFonts w:hint="default" w:ascii="Times New Roman" w:hAnsi="Times New Roman" w:cs="Times New Roman"/>
                <w:color w:val="auto"/>
              </w:rPr>
            </w:pPr>
            <w:r>
              <w:rPr>
                <w:rFonts w:hint="default" w:ascii="Times New Roman" w:hAnsi="Times New Roman" w:cs="Times New Roman"/>
                <w:color w:val="auto"/>
              </w:rPr>
              <w:t>⑧将新增与现有的飞灰处理设备电路控制线进行整改；</w:t>
            </w:r>
          </w:p>
          <w:p w14:paraId="6E100327">
            <w:pPr>
              <w:pStyle w:val="23"/>
              <w:bidi w:val="0"/>
              <w:jc w:val="left"/>
              <w:rPr>
                <w:rFonts w:hint="default" w:ascii="Times New Roman" w:hAnsi="Times New Roman" w:cs="Times New Roman"/>
                <w:color w:val="auto"/>
              </w:rPr>
            </w:pPr>
            <w:r>
              <w:rPr>
                <w:rFonts w:hint="default" w:ascii="Times New Roman" w:hAnsi="Times New Roman" w:cs="Times New Roman"/>
                <w:color w:val="auto"/>
              </w:rPr>
              <w:t>⑨规范化存放螯合剂；</w:t>
            </w:r>
          </w:p>
          <w:p w14:paraId="3EE0CDE4">
            <w:pPr>
              <w:pStyle w:val="23"/>
              <w:bidi w:val="0"/>
              <w:jc w:val="left"/>
              <w:rPr>
                <w:rFonts w:hint="default" w:ascii="Times New Roman" w:hAnsi="Times New Roman" w:cs="Times New Roman"/>
                <w:color w:val="auto"/>
                <w:lang w:eastAsia="zh-CN"/>
              </w:rPr>
            </w:pPr>
            <w:r>
              <w:rPr>
                <w:rFonts w:hint="default" w:ascii="Times New Roman" w:hAnsi="Times New Roman" w:cs="Times New Roman"/>
                <w:color w:val="auto"/>
              </w:rPr>
              <w:t>⑩及时将堆存于厂区内飞灰固化物交由南平臻境环保有限责任公司进行无害化处置</w:t>
            </w:r>
            <w:r>
              <w:rPr>
                <w:rFonts w:hint="default" w:ascii="Times New Roman" w:hAnsi="Times New Roman" w:cs="Times New Roman"/>
                <w:color w:val="auto"/>
                <w:lang w:eastAsia="zh-CN"/>
              </w:rPr>
              <w:t>；</w:t>
            </w:r>
          </w:p>
          <w:p w14:paraId="1A1E7059">
            <w:pPr>
              <w:pStyle w:val="23"/>
              <w:bidi w:val="0"/>
              <w:jc w:val="left"/>
              <w:rPr>
                <w:rFonts w:hint="default" w:ascii="Times New Roman" w:hAnsi="Times New Roman" w:cs="Times New Roman"/>
                <w:color w:val="auto"/>
              </w:rPr>
            </w:pPr>
            <w:r>
              <w:rPr>
                <w:rFonts w:hint="default" w:ascii="Times New Roman" w:hAnsi="Times New Roman" w:cs="Times New Roman"/>
                <w:color w:val="auto"/>
              </w:rPr>
              <w:t>⑪严格按照《生活垃圾焚烧飞灰污染控制技术规范（试行）》（HJ1134-2020）中对于飞灰固化物的重金属浸出液、二噁英、含水率以及可溶性氯含量监测要求，制定监测方案进行</w:t>
            </w:r>
            <w:r>
              <w:rPr>
                <w:rFonts w:hint="default" w:ascii="Times New Roman" w:hAnsi="Times New Roman" w:cs="Times New Roman"/>
                <w:color w:val="auto"/>
                <w:lang w:val="en-US" w:eastAsia="zh-CN"/>
              </w:rPr>
              <w:t>日常</w:t>
            </w:r>
            <w:r>
              <w:rPr>
                <w:rFonts w:hint="default" w:ascii="Times New Roman" w:hAnsi="Times New Roman" w:cs="Times New Roman"/>
                <w:color w:val="auto"/>
              </w:rPr>
              <w:t>监测。</w:t>
            </w:r>
          </w:p>
        </w:tc>
        <w:tc>
          <w:tcPr>
            <w:tcW w:w="4881" w:type="dxa"/>
            <w:tcBorders>
              <w:right w:val="single" w:color="000000" w:sz="2" w:space="0"/>
            </w:tcBorders>
            <w:vAlign w:val="center"/>
          </w:tcPr>
          <w:p w14:paraId="0A7FCE87">
            <w:pPr>
              <w:pStyle w:val="23"/>
              <w:bidi w:val="0"/>
              <w:jc w:val="left"/>
              <w:rPr>
                <w:rFonts w:hint="default" w:ascii="Times New Roman" w:hAnsi="Times New Roman" w:cs="Times New Roman"/>
                <w:color w:val="auto"/>
              </w:rPr>
            </w:pPr>
            <w:r>
              <w:rPr>
                <w:rFonts w:hint="default" w:ascii="Times New Roman" w:hAnsi="Times New Roman" w:cs="Times New Roman"/>
                <w:color w:val="auto"/>
              </w:rPr>
              <w:t>①备用生产线升级改造</w:t>
            </w:r>
            <w:r>
              <w:rPr>
                <w:rFonts w:hint="default" w:ascii="Times New Roman" w:hAnsi="Times New Roman" w:cs="Times New Roman"/>
                <w:color w:val="auto"/>
                <w:lang w:val="en-US" w:eastAsia="zh-CN"/>
              </w:rPr>
              <w:t>尚未完成</w:t>
            </w:r>
            <w:r>
              <w:rPr>
                <w:rFonts w:hint="default" w:ascii="Times New Roman" w:hAnsi="Times New Roman" w:cs="Times New Roman"/>
                <w:color w:val="auto"/>
              </w:rPr>
              <w:t>；</w:t>
            </w:r>
          </w:p>
          <w:p w14:paraId="67D14CEB">
            <w:pPr>
              <w:pStyle w:val="23"/>
              <w:bidi w:val="0"/>
              <w:jc w:val="left"/>
              <w:rPr>
                <w:rFonts w:hint="default" w:ascii="Times New Roman" w:hAnsi="Times New Roman" w:cs="Times New Roman"/>
                <w:color w:val="auto"/>
              </w:rPr>
            </w:pPr>
            <w:r>
              <w:rPr>
                <w:rFonts w:hint="default" w:ascii="Times New Roman" w:hAnsi="Times New Roman" w:cs="Times New Roman"/>
                <w:color w:val="auto"/>
              </w:rPr>
              <w:t>②对厂区地面防腐层损坏开裂修缮；</w:t>
            </w:r>
          </w:p>
          <w:p w14:paraId="796B6200">
            <w:pPr>
              <w:pStyle w:val="23"/>
              <w:bidi w:val="0"/>
              <w:jc w:val="left"/>
              <w:rPr>
                <w:rFonts w:hint="default" w:ascii="Times New Roman" w:hAnsi="Times New Roman" w:cs="Times New Roman"/>
                <w:color w:val="auto"/>
              </w:rPr>
            </w:pPr>
            <w:r>
              <w:rPr>
                <w:rFonts w:hint="default" w:ascii="Times New Roman" w:hAnsi="Times New Roman" w:cs="Times New Roman"/>
                <w:color w:val="auto"/>
              </w:rPr>
              <w:t>③硬件老旧破损的1#飞灰预处理厂房</w:t>
            </w:r>
            <w:r>
              <w:rPr>
                <w:rFonts w:hint="default" w:ascii="Times New Roman" w:hAnsi="Times New Roman" w:cs="Times New Roman"/>
                <w:color w:val="auto"/>
                <w:lang w:val="en-US" w:eastAsia="zh-CN"/>
              </w:rPr>
              <w:t>尚未修缮</w:t>
            </w:r>
            <w:r>
              <w:rPr>
                <w:rFonts w:hint="default" w:ascii="Times New Roman" w:hAnsi="Times New Roman" w:cs="Times New Roman"/>
                <w:color w:val="auto"/>
              </w:rPr>
              <w:t>；</w:t>
            </w:r>
          </w:p>
          <w:p w14:paraId="68B434F2">
            <w:pPr>
              <w:pStyle w:val="23"/>
              <w:bidi w:val="0"/>
              <w:jc w:val="left"/>
              <w:rPr>
                <w:rFonts w:hint="default" w:ascii="Times New Roman" w:hAnsi="Times New Roman" w:cs="Times New Roman"/>
                <w:color w:val="auto"/>
              </w:rPr>
            </w:pPr>
            <w:r>
              <w:rPr>
                <w:rFonts w:hint="default" w:ascii="Times New Roman" w:hAnsi="Times New Roman" w:cs="Times New Roman"/>
                <w:color w:val="auto"/>
              </w:rPr>
              <w:t>④及时清理泄漏于厂房内地面飞灰粉尘与油污；</w:t>
            </w:r>
          </w:p>
          <w:p w14:paraId="1A5E9796">
            <w:pPr>
              <w:pStyle w:val="23"/>
              <w:bidi w:val="0"/>
              <w:jc w:val="left"/>
              <w:rPr>
                <w:rFonts w:hint="default" w:ascii="Times New Roman" w:hAnsi="Times New Roman" w:cs="Times New Roman"/>
                <w:color w:val="auto"/>
              </w:rPr>
            </w:pPr>
            <w:r>
              <w:rPr>
                <w:rFonts w:hint="default" w:ascii="Times New Roman" w:hAnsi="Times New Roman" w:cs="Times New Roman"/>
                <w:color w:val="auto"/>
                <w:lang w:val="en-US" w:eastAsia="zh-CN"/>
              </w:rPr>
              <w:t>⑤已</w:t>
            </w:r>
            <w:r>
              <w:rPr>
                <w:rFonts w:hint="default" w:ascii="Times New Roman" w:hAnsi="Times New Roman" w:cs="Times New Roman"/>
                <w:color w:val="auto"/>
              </w:rPr>
              <w:t>按规范</w:t>
            </w:r>
            <w:r>
              <w:rPr>
                <w:rFonts w:hint="default" w:ascii="Times New Roman" w:hAnsi="Times New Roman" w:cs="Times New Roman"/>
                <w:color w:val="auto"/>
                <w:lang w:val="en-US" w:eastAsia="zh-CN"/>
              </w:rPr>
              <w:t>安装切换阀</w:t>
            </w:r>
            <w:r>
              <w:rPr>
                <w:rFonts w:hint="default" w:ascii="Times New Roman" w:hAnsi="Times New Roman" w:cs="Times New Roman"/>
                <w:color w:val="auto"/>
                <w:lang w:eastAsia="zh-CN"/>
              </w:rPr>
              <w:t>，</w:t>
            </w:r>
            <w:r>
              <w:rPr>
                <w:rFonts w:hint="default" w:ascii="Times New Roman" w:hAnsi="Times New Roman" w:cs="Times New Roman"/>
                <w:color w:val="auto"/>
              </w:rPr>
              <w:t>加强雨污分流建设；</w:t>
            </w:r>
          </w:p>
          <w:p w14:paraId="246961AF">
            <w:pPr>
              <w:pStyle w:val="23"/>
              <w:bidi w:val="0"/>
              <w:jc w:val="left"/>
              <w:rPr>
                <w:rFonts w:hint="default" w:ascii="Times New Roman" w:hAnsi="Times New Roman" w:cs="Times New Roman"/>
                <w:color w:val="auto"/>
              </w:rPr>
            </w:pPr>
            <w:r>
              <w:rPr>
                <w:rFonts w:hint="default" w:ascii="Times New Roman" w:hAnsi="Times New Roman" w:cs="Times New Roman"/>
                <w:color w:val="auto"/>
              </w:rPr>
              <w:t>⑥</w:t>
            </w:r>
            <w:r>
              <w:rPr>
                <w:rFonts w:hint="default" w:ascii="Times New Roman" w:hAnsi="Times New Roman" w:cs="Times New Roman"/>
                <w:color w:val="auto"/>
                <w:lang w:val="en-US" w:eastAsia="zh-CN"/>
              </w:rPr>
              <w:t>已</w:t>
            </w:r>
            <w:r>
              <w:rPr>
                <w:rFonts w:hint="default" w:ascii="Times New Roman" w:hAnsi="Times New Roman" w:cs="Times New Roman"/>
                <w:color w:val="auto"/>
              </w:rPr>
              <w:t>按规范建设危险废物暂存间；</w:t>
            </w:r>
          </w:p>
          <w:p w14:paraId="6CD8A65E">
            <w:pPr>
              <w:pStyle w:val="23"/>
              <w:bidi w:val="0"/>
              <w:jc w:val="left"/>
              <w:rPr>
                <w:rFonts w:hint="default" w:ascii="Times New Roman" w:hAnsi="Times New Roman" w:cs="Times New Roman"/>
                <w:color w:val="auto"/>
              </w:rPr>
            </w:pPr>
            <w:r>
              <w:rPr>
                <w:rFonts w:hint="default" w:ascii="Times New Roman" w:hAnsi="Times New Roman" w:cs="Times New Roman"/>
                <w:color w:val="auto"/>
              </w:rPr>
              <w:t>⑦</w:t>
            </w:r>
            <w:r>
              <w:rPr>
                <w:rFonts w:hint="default" w:ascii="Times New Roman" w:hAnsi="Times New Roman" w:cs="Times New Roman"/>
                <w:color w:val="auto"/>
                <w:lang w:val="en-US" w:eastAsia="zh-CN"/>
              </w:rPr>
              <w:t>已对</w:t>
            </w:r>
            <w:r>
              <w:rPr>
                <w:rFonts w:hint="default" w:ascii="Times New Roman" w:hAnsi="Times New Roman" w:cs="Times New Roman"/>
                <w:color w:val="auto"/>
              </w:rPr>
              <w:t>新增与现有的飞灰处理设备电路控制线进行整改；</w:t>
            </w:r>
          </w:p>
          <w:p w14:paraId="4CAF6B70">
            <w:pPr>
              <w:pStyle w:val="23"/>
              <w:bidi w:val="0"/>
              <w:jc w:val="left"/>
              <w:rPr>
                <w:rFonts w:hint="default" w:ascii="Times New Roman" w:hAnsi="Times New Roman" w:cs="Times New Roman"/>
                <w:color w:val="auto"/>
              </w:rPr>
            </w:pPr>
            <w:r>
              <w:rPr>
                <w:rFonts w:hint="default" w:ascii="Times New Roman" w:hAnsi="Times New Roman" w:cs="Times New Roman"/>
                <w:color w:val="auto"/>
              </w:rPr>
              <w:t>⑧</w:t>
            </w:r>
            <w:r>
              <w:rPr>
                <w:rFonts w:hint="default" w:ascii="Times New Roman" w:hAnsi="Times New Roman" w:cs="Times New Roman"/>
                <w:color w:val="auto"/>
                <w:kern w:val="1"/>
                <w:u w:val="none"/>
              </w:rPr>
              <w:t>建设单位</w:t>
            </w:r>
            <w:r>
              <w:rPr>
                <w:rFonts w:hint="default" w:ascii="Times New Roman" w:hAnsi="Times New Roman" w:cs="Times New Roman"/>
                <w:color w:val="auto"/>
                <w:kern w:val="1"/>
                <w:u w:val="none"/>
                <w:lang w:val="en-US" w:eastAsia="zh-CN"/>
              </w:rPr>
              <w:t>已</w:t>
            </w:r>
            <w:r>
              <w:rPr>
                <w:rFonts w:hint="eastAsia" w:cs="Times New Roman"/>
                <w:color w:val="auto"/>
                <w:kern w:val="1"/>
                <w:u w:val="none"/>
                <w:lang w:val="en-US" w:eastAsia="zh-CN"/>
              </w:rPr>
              <w:t>将</w:t>
            </w:r>
            <w:r>
              <w:rPr>
                <w:rFonts w:hint="default" w:ascii="Times New Roman" w:hAnsi="Times New Roman" w:cs="Times New Roman"/>
                <w:color w:val="auto"/>
                <w:kern w:val="1"/>
                <w:u w:val="none"/>
              </w:rPr>
              <w:t>罐装螯合剂</w:t>
            </w:r>
            <w:r>
              <w:rPr>
                <w:rFonts w:hint="eastAsia" w:ascii="Times New Roman" w:hAnsi="Times New Roman" w:cs="Times New Roman"/>
                <w:color w:val="auto"/>
                <w:kern w:val="1"/>
                <w:u w:val="none"/>
                <w:lang w:val="en-US" w:eastAsia="zh-CN"/>
              </w:rPr>
              <w:t>存放于</w:t>
            </w:r>
            <w:r>
              <w:rPr>
                <w:rFonts w:hint="default" w:ascii="Times New Roman" w:hAnsi="Times New Roman" w:cs="Times New Roman"/>
                <w:color w:val="auto"/>
                <w:kern w:val="1"/>
                <w:u w:val="none"/>
                <w:lang w:val="en-US" w:eastAsia="zh-CN"/>
              </w:rPr>
              <w:t>2#厂房</w:t>
            </w:r>
            <w:r>
              <w:rPr>
                <w:rFonts w:hint="eastAsia" w:cs="Times New Roman"/>
                <w:color w:val="auto"/>
                <w:kern w:val="1"/>
                <w:u w:val="none"/>
                <w:lang w:val="en-US" w:eastAsia="zh-CN"/>
              </w:rPr>
              <w:t>内</w:t>
            </w:r>
            <w:r>
              <w:rPr>
                <w:rFonts w:hint="default" w:ascii="Times New Roman" w:hAnsi="Times New Roman" w:cs="Times New Roman"/>
                <w:color w:val="auto"/>
                <w:kern w:val="1"/>
                <w:u w:val="none"/>
                <w:lang w:val="en-US" w:eastAsia="zh-CN"/>
              </w:rPr>
              <w:t>东侧</w:t>
            </w:r>
            <w:r>
              <w:rPr>
                <w:rFonts w:hint="eastAsia" w:cs="Times New Roman"/>
                <w:color w:val="auto"/>
                <w:kern w:val="1"/>
                <w:u w:val="none"/>
                <w:lang w:val="en-US" w:eastAsia="zh-CN"/>
              </w:rPr>
              <w:t>中部位置</w:t>
            </w:r>
            <w:r>
              <w:rPr>
                <w:rFonts w:hint="default" w:ascii="Times New Roman" w:hAnsi="Times New Roman" w:cs="Times New Roman"/>
                <w:color w:val="auto"/>
                <w:kern w:val="1"/>
                <w:u w:val="none"/>
              </w:rPr>
              <w:t>，</w:t>
            </w:r>
            <w:r>
              <w:rPr>
                <w:rFonts w:hint="eastAsia" w:cs="Times New Roman"/>
                <w:color w:val="auto"/>
                <w:kern w:val="1"/>
                <w:u w:val="none"/>
                <w:lang w:val="en-US" w:eastAsia="zh-CN"/>
              </w:rPr>
              <w:t>且均存放于不锈钢托盘内，</w:t>
            </w:r>
            <w:r>
              <w:rPr>
                <w:rFonts w:hint="default" w:ascii="Times New Roman" w:hAnsi="Times New Roman" w:cs="Times New Roman"/>
                <w:color w:val="auto"/>
                <w:highlight w:val="none"/>
              </w:rPr>
              <w:t>收集意外泄露的</w:t>
            </w:r>
            <w:r>
              <w:rPr>
                <w:rFonts w:hint="default" w:ascii="Times New Roman" w:hAnsi="Times New Roman" w:cs="Times New Roman"/>
                <w:color w:val="auto"/>
                <w:kern w:val="1"/>
                <w:u w:val="none"/>
              </w:rPr>
              <w:t>螯合剂</w:t>
            </w:r>
            <w:r>
              <w:rPr>
                <w:rFonts w:hint="eastAsia" w:cs="Times New Roman"/>
                <w:color w:val="auto"/>
                <w:kern w:val="1"/>
                <w:u w:val="none"/>
                <w:lang w:val="en-US" w:eastAsia="zh-CN"/>
              </w:rPr>
              <w:t>，</w:t>
            </w:r>
            <w:r>
              <w:rPr>
                <w:rFonts w:hint="default" w:ascii="Times New Roman" w:hAnsi="Times New Roman" w:cs="Times New Roman"/>
                <w:color w:val="auto"/>
                <w:kern w:val="1"/>
                <w:u w:val="none"/>
              </w:rPr>
              <w:t>由专人进行监管，及时清运走空罐</w:t>
            </w:r>
            <w:r>
              <w:rPr>
                <w:rFonts w:hint="default" w:ascii="Times New Roman" w:hAnsi="Times New Roman" w:cs="Times New Roman"/>
                <w:color w:val="auto"/>
              </w:rPr>
              <w:t>；</w:t>
            </w:r>
          </w:p>
          <w:p w14:paraId="52C12BC9">
            <w:pPr>
              <w:pStyle w:val="23"/>
              <w:bidi w:val="0"/>
              <w:jc w:val="left"/>
              <w:rPr>
                <w:rFonts w:hint="default" w:ascii="Times New Roman" w:hAnsi="Times New Roman" w:cs="Times New Roman"/>
                <w:color w:val="auto"/>
                <w:lang w:eastAsia="zh-CN"/>
              </w:rPr>
            </w:pPr>
            <w:r>
              <w:rPr>
                <w:rFonts w:hint="default" w:ascii="Times New Roman" w:hAnsi="Times New Roman" w:cs="Times New Roman"/>
                <w:color w:val="auto"/>
              </w:rPr>
              <w:t>⑨</w:t>
            </w:r>
            <w:r>
              <w:rPr>
                <w:rFonts w:hint="default" w:ascii="Times New Roman" w:hAnsi="Times New Roman" w:cs="Times New Roman"/>
                <w:color w:val="auto"/>
                <w:lang w:val="en-US" w:eastAsia="zh-CN"/>
              </w:rPr>
              <w:t>建设单位</w:t>
            </w:r>
            <w:r>
              <w:rPr>
                <w:rFonts w:hint="default" w:ascii="Times New Roman" w:hAnsi="Times New Roman" w:cs="Times New Roman"/>
                <w:color w:val="auto"/>
              </w:rPr>
              <w:t>及时将堆存于厂区内飞灰固化物交由福州市闽侯县建投再生能源有限公司进行无害化处置</w:t>
            </w:r>
            <w:r>
              <w:rPr>
                <w:rFonts w:hint="default" w:ascii="Times New Roman" w:hAnsi="Times New Roman" w:cs="Times New Roman"/>
                <w:color w:val="auto"/>
                <w:lang w:eastAsia="zh-CN"/>
              </w:rPr>
              <w:t>；</w:t>
            </w:r>
          </w:p>
          <w:p w14:paraId="1FE490E8">
            <w:pPr>
              <w:pStyle w:val="23"/>
              <w:bidi w:val="0"/>
              <w:jc w:val="left"/>
              <w:rPr>
                <w:rFonts w:hint="default" w:ascii="Times New Roman" w:hAnsi="Times New Roman" w:cs="Times New Roman"/>
                <w:color w:val="auto"/>
                <w:lang w:val="en-US" w:eastAsia="en-US"/>
              </w:rPr>
            </w:pPr>
            <w:r>
              <w:rPr>
                <w:rFonts w:hint="default" w:ascii="Times New Roman" w:hAnsi="Times New Roman" w:cs="Times New Roman"/>
                <w:color w:val="auto"/>
              </w:rPr>
              <w:t>⑩</w:t>
            </w:r>
            <w:r>
              <w:rPr>
                <w:rFonts w:hint="default" w:ascii="Times New Roman" w:hAnsi="Times New Roman" w:cs="Times New Roman"/>
                <w:color w:val="auto"/>
                <w:lang w:val="en-US" w:eastAsia="zh-CN"/>
              </w:rPr>
              <w:t>建设单位已</w:t>
            </w:r>
            <w:r>
              <w:rPr>
                <w:rFonts w:hint="default" w:ascii="Times New Roman" w:hAnsi="Times New Roman" w:cs="Times New Roman"/>
                <w:color w:val="auto"/>
              </w:rPr>
              <w:t>严格按照《生活垃圾焚烧飞灰污染控制技术规范（试行）》（HJ1134-2020）中对于飞灰固化物的重金属浸出液、二噁英、含水率以及</w:t>
            </w:r>
            <w:r>
              <w:rPr>
                <w:rFonts w:hint="default" w:ascii="Times New Roman" w:hAnsi="Times New Roman" w:cs="Times New Roman"/>
                <w:color w:val="auto"/>
              </w:rPr>
              <w:t>可溶性氯含量</w:t>
            </w:r>
            <w:r>
              <w:rPr>
                <w:rFonts w:hint="default" w:ascii="Times New Roman" w:hAnsi="Times New Roman" w:cs="Times New Roman"/>
                <w:color w:val="auto"/>
              </w:rPr>
              <w:t>监测要求，制定监测方案进行</w:t>
            </w:r>
            <w:r>
              <w:rPr>
                <w:rFonts w:hint="default" w:ascii="Times New Roman" w:hAnsi="Times New Roman" w:cs="Times New Roman"/>
                <w:color w:val="auto"/>
                <w:lang w:val="en-US" w:eastAsia="zh-CN"/>
              </w:rPr>
              <w:t>日常</w:t>
            </w:r>
            <w:r>
              <w:rPr>
                <w:rFonts w:hint="default" w:ascii="Times New Roman" w:hAnsi="Times New Roman" w:cs="Times New Roman"/>
                <w:color w:val="auto"/>
              </w:rPr>
              <w:t>监测。</w:t>
            </w:r>
          </w:p>
        </w:tc>
        <w:tc>
          <w:tcPr>
            <w:tcW w:w="1587" w:type="dxa"/>
            <w:tcBorders>
              <w:left w:val="single" w:color="000000" w:sz="2" w:space="0"/>
              <w:right w:val="nil"/>
            </w:tcBorders>
            <w:vAlign w:val="center"/>
          </w:tcPr>
          <w:p w14:paraId="73983BBC">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除1#飞灰预处理厂房及生产线升级改造尚未完成，其余现有问题均已整改到位，本次仅验收新增的100t飞灰处理生产线。</w:t>
            </w:r>
          </w:p>
        </w:tc>
      </w:tr>
    </w:tbl>
    <w:p w14:paraId="0A6A9441">
      <w:pPr>
        <w:pStyle w:val="21"/>
        <w:bidi w:val="0"/>
        <w:rPr>
          <w:rFonts w:hint="eastAsia" w:ascii="Times New Roman" w:hAnsi="Times New Roman" w:cs="Times New Roman"/>
          <w:color w:val="auto"/>
          <w:lang w:val="en-US" w:eastAsia="zh-CN"/>
        </w:rPr>
      </w:pPr>
    </w:p>
    <w:p w14:paraId="65812383">
      <w:pPr>
        <w:pStyle w:val="21"/>
        <w:bidi w:val="0"/>
        <w:rPr>
          <w:rFonts w:hint="default" w:ascii="Times New Roman" w:hAnsi="Times New Roman" w:cs="Times New Roman"/>
          <w:color w:val="auto"/>
        </w:rPr>
      </w:pPr>
      <w:r>
        <w:rPr>
          <w:rFonts w:hint="eastAsia" w:ascii="Times New Roman" w:hAnsi="Times New Roman" w:cs="Times New Roman"/>
          <w:color w:val="auto"/>
          <w:lang w:val="en-US" w:eastAsia="zh-CN"/>
        </w:rPr>
        <w:t>表4.3-3  本项目</w:t>
      </w:r>
      <w:r>
        <w:rPr>
          <w:rFonts w:hint="default" w:ascii="Times New Roman" w:hAnsi="Times New Roman" w:cs="Times New Roman"/>
          <w:color w:val="auto"/>
          <w:lang w:val="en-US" w:eastAsia="zh-CN"/>
        </w:rPr>
        <w:t>环评提出的</w:t>
      </w:r>
      <w:r>
        <w:rPr>
          <w:rFonts w:hint="eastAsia" w:cs="Times New Roman"/>
          <w:color w:val="auto"/>
          <w:lang w:val="en-US" w:eastAsia="zh-CN"/>
        </w:rPr>
        <w:t>“</w:t>
      </w:r>
      <w:r>
        <w:rPr>
          <w:rFonts w:hint="default" w:ascii="Times New Roman" w:hAnsi="Times New Roman" w:cs="Times New Roman"/>
          <w:color w:val="auto"/>
          <w:lang w:val="en-US" w:eastAsia="zh-CN"/>
        </w:rPr>
        <w:t>三同时</w:t>
      </w:r>
      <w:r>
        <w:rPr>
          <w:rFonts w:hint="eastAsia" w:cs="Times New Roman"/>
          <w:color w:val="auto"/>
          <w:lang w:val="en-US" w:eastAsia="zh-CN"/>
        </w:rPr>
        <w:t>”措施</w:t>
      </w:r>
      <w:r>
        <w:rPr>
          <w:rFonts w:hint="eastAsia" w:ascii="Times New Roman" w:hAnsi="Times New Roman" w:cs="Times New Roman"/>
          <w:color w:val="auto"/>
          <w:lang w:val="en-US" w:eastAsia="zh-CN"/>
        </w:rPr>
        <w:t>要求与</w:t>
      </w:r>
      <w:r>
        <w:rPr>
          <w:rFonts w:hint="eastAsia" w:ascii="宋体" w:hAnsi="宋体" w:eastAsia="宋体" w:cs="宋体"/>
          <w:i w:val="0"/>
          <w:iCs w:val="0"/>
          <w:caps w:val="0"/>
          <w:color w:val="auto"/>
          <w:spacing w:val="0"/>
          <w:sz w:val="24"/>
          <w:szCs w:val="24"/>
          <w:shd w:val="clear" w:fill="FFFFFF"/>
        </w:rPr>
        <w:t>《生活垃圾焚烧飞灰固化稳定化处理技术标准》</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宋体" w:cs="Times New Roman"/>
          <w:i w:val="0"/>
          <w:iCs w:val="0"/>
          <w:caps w:val="0"/>
          <w:color w:val="auto"/>
          <w:spacing w:val="0"/>
          <w:sz w:val="24"/>
          <w:szCs w:val="24"/>
          <w:shd w:val="clear" w:fill="FFFFFF"/>
        </w:rPr>
        <w:t>CJJ/T316-2023</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cs="Times New Roman"/>
          <w:color w:val="auto"/>
        </w:rPr>
        <w:t>要求</w:t>
      </w:r>
      <w:r>
        <w:rPr>
          <w:rFonts w:hint="eastAsia" w:ascii="Times New Roman" w:hAnsi="Times New Roman" w:cs="Times New Roman"/>
          <w:color w:val="auto"/>
          <w:lang w:val="en-US" w:eastAsia="zh-CN"/>
        </w:rPr>
        <w:t>对照情况</w:t>
      </w:r>
    </w:p>
    <w:tbl>
      <w:tblPr>
        <w:tblStyle w:val="20"/>
        <w:tblW w:w="14173" w:type="dxa"/>
        <w:jc w:val="center"/>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3"/>
        <w:gridCol w:w="3391"/>
        <w:gridCol w:w="3391"/>
        <w:gridCol w:w="4644"/>
        <w:gridCol w:w="1824"/>
      </w:tblGrid>
      <w:tr w14:paraId="195DFDE9">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tcBorders>
              <w:left w:val="nil"/>
            </w:tcBorders>
            <w:vAlign w:val="center"/>
          </w:tcPr>
          <w:p w14:paraId="69487A4E">
            <w:pPr>
              <w:pStyle w:val="23"/>
              <w:bidi w:val="0"/>
              <w:rPr>
                <w:rFonts w:hint="default" w:ascii="Times New Roman" w:hAnsi="Times New Roman" w:eastAsia="宋体" w:cs="Times New Roman"/>
                <w:color w:val="auto"/>
                <w:lang w:val="en-US" w:eastAsia="zh-CN"/>
              </w:rPr>
            </w:pPr>
          </w:p>
        </w:tc>
        <w:tc>
          <w:tcPr>
            <w:tcW w:w="3391" w:type="dxa"/>
            <w:shd w:val="clear" w:color="auto" w:fill="auto"/>
            <w:vAlign w:val="center"/>
          </w:tcPr>
          <w:p w14:paraId="6CEBA4A2">
            <w:pPr>
              <w:pStyle w:val="23"/>
              <w:bidi w:val="0"/>
              <w:ind w:firstLine="0" w:firstLineChars="0"/>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color w:val="auto"/>
                <w:lang w:val="en-US" w:eastAsia="zh-CN"/>
              </w:rPr>
              <w:t>环评</w:t>
            </w:r>
            <w:r>
              <w:rPr>
                <w:rFonts w:hint="eastAsia" w:ascii="Times New Roman" w:hAnsi="Times New Roman" w:cs="Times New Roman"/>
                <w:color w:val="auto"/>
                <w:lang w:val="en-US" w:eastAsia="zh-CN"/>
              </w:rPr>
              <w:t>提出要求</w:t>
            </w:r>
          </w:p>
        </w:tc>
        <w:tc>
          <w:tcPr>
            <w:tcW w:w="3391" w:type="dxa"/>
            <w:shd w:val="clear" w:color="auto" w:fill="auto"/>
            <w:vAlign w:val="center"/>
          </w:tcPr>
          <w:p w14:paraId="2162D508">
            <w:pPr>
              <w:pStyle w:val="23"/>
              <w:bidi w:val="0"/>
              <w:ind w:firstLine="0" w:firstLineChars="0"/>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color w:val="auto"/>
              </w:rPr>
              <w:t>《生活垃圾焚烧飞灰固化稳定化处理技术标准》</w:t>
            </w:r>
            <w:r>
              <w:rPr>
                <w:rFonts w:hint="default" w:ascii="Times New Roman" w:hAnsi="Times New Roman" w:cs="Times New Roman"/>
                <w:color w:val="auto"/>
                <w:lang w:eastAsia="zh-CN"/>
              </w:rPr>
              <w:t>（CJJ/T316-2023）</w:t>
            </w:r>
            <w:r>
              <w:rPr>
                <w:rFonts w:hint="eastAsia" w:ascii="Times New Roman" w:hAnsi="Times New Roman" w:cs="Times New Roman"/>
                <w:color w:val="auto"/>
                <w:lang w:val="en-US" w:eastAsia="zh-CN"/>
              </w:rPr>
              <w:t>要求</w:t>
            </w:r>
          </w:p>
        </w:tc>
        <w:tc>
          <w:tcPr>
            <w:tcW w:w="4644" w:type="dxa"/>
            <w:tcBorders>
              <w:right w:val="single" w:color="000000" w:sz="2" w:space="0"/>
            </w:tcBorders>
            <w:shd w:val="clear" w:color="auto" w:fill="auto"/>
            <w:vAlign w:val="center"/>
          </w:tcPr>
          <w:p w14:paraId="734E88E7">
            <w:pPr>
              <w:pStyle w:val="23"/>
              <w:bidi w:val="0"/>
              <w:ind w:firstLine="0" w:firstLineChars="0"/>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cs="Times New Roman"/>
                <w:color w:val="auto"/>
                <w:lang w:val="en-US" w:eastAsia="zh-CN"/>
              </w:rPr>
              <w:t>实际建设情况</w:t>
            </w:r>
          </w:p>
        </w:tc>
        <w:tc>
          <w:tcPr>
            <w:tcW w:w="1824" w:type="dxa"/>
            <w:tcBorders>
              <w:left w:val="single" w:color="000000" w:sz="2" w:space="0"/>
              <w:right w:val="nil"/>
            </w:tcBorders>
            <w:shd w:val="clear" w:color="auto" w:fill="auto"/>
            <w:vAlign w:val="center"/>
          </w:tcPr>
          <w:p w14:paraId="3983DDA3">
            <w:pPr>
              <w:pStyle w:val="23"/>
              <w:bidi w:val="0"/>
              <w:ind w:firstLine="0" w:firstLineChars="0"/>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cs="Times New Roman"/>
                <w:color w:val="auto"/>
                <w:lang w:val="en-US" w:eastAsia="zh-CN"/>
              </w:rPr>
              <w:t>按照</w:t>
            </w:r>
            <w:r>
              <w:rPr>
                <w:rFonts w:hint="default" w:ascii="Times New Roman" w:hAnsi="Times New Roman" w:cs="Times New Roman"/>
                <w:color w:val="auto"/>
                <w:lang w:eastAsia="zh-CN"/>
              </w:rPr>
              <w:t>（CJJ/T316-2023）</w:t>
            </w:r>
            <w:r>
              <w:rPr>
                <w:rFonts w:hint="eastAsia" w:ascii="Times New Roman" w:hAnsi="Times New Roman" w:cs="Times New Roman"/>
                <w:color w:val="auto"/>
                <w:lang w:val="en-US" w:eastAsia="zh-CN"/>
              </w:rPr>
              <w:t>落实情况</w:t>
            </w:r>
          </w:p>
        </w:tc>
      </w:tr>
      <w:tr w14:paraId="0BA1D0B8">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tcBorders>
              <w:left w:val="nil"/>
            </w:tcBorders>
            <w:shd w:val="clear" w:color="auto" w:fill="auto"/>
            <w:vAlign w:val="center"/>
          </w:tcPr>
          <w:p w14:paraId="2F549B35">
            <w:pPr>
              <w:pStyle w:val="23"/>
              <w:bidi w:val="0"/>
              <w:rPr>
                <w:rFonts w:hint="default"/>
                <w:color w:val="auto"/>
                <w:lang w:val="en-US" w:eastAsia="en-US"/>
              </w:rPr>
            </w:pPr>
            <w:r>
              <w:rPr>
                <w:color w:val="auto"/>
              </w:rPr>
              <w:t>总图设计和平面布置</w:t>
            </w:r>
          </w:p>
        </w:tc>
        <w:tc>
          <w:tcPr>
            <w:tcW w:w="3391" w:type="dxa"/>
            <w:shd w:val="clear" w:color="auto" w:fill="auto"/>
            <w:vAlign w:val="center"/>
          </w:tcPr>
          <w:p w14:paraId="618C8BF9">
            <w:pPr>
              <w:pStyle w:val="23"/>
              <w:bidi w:val="0"/>
              <w:rPr>
                <w:rFonts w:hint="default"/>
                <w:color w:val="auto"/>
                <w:lang w:val="en-US" w:eastAsia="zh-CN"/>
              </w:rPr>
            </w:pPr>
            <w:r>
              <w:rPr>
                <w:color w:val="auto"/>
              </w:rPr>
              <w:t>飞灰处理站作业区周围应按雨污分流要求，设置初期雨水集水池，并且应能收集20年一遇暴雨的初期降水量</w:t>
            </w:r>
            <w:r>
              <w:rPr>
                <w:rFonts w:hint="eastAsia"/>
                <w:color w:val="auto"/>
                <w:lang w:eastAsia="zh-CN"/>
              </w:rPr>
              <w:t>。</w:t>
            </w:r>
          </w:p>
        </w:tc>
        <w:tc>
          <w:tcPr>
            <w:tcW w:w="3391" w:type="dxa"/>
            <w:vAlign w:val="center"/>
          </w:tcPr>
          <w:p w14:paraId="09C60C87">
            <w:pPr>
              <w:pStyle w:val="23"/>
              <w:bidi w:val="0"/>
              <w:rPr>
                <w:rFonts w:hint="eastAsia" w:ascii="Times New Roman" w:hAnsi="Times New Roman" w:eastAsia="宋体" w:cs="Times New Roman"/>
                <w:color w:val="auto"/>
                <w:lang w:val="en-US" w:eastAsia="zh-CN"/>
              </w:rPr>
            </w:pPr>
            <w:r>
              <w:rPr>
                <w:rFonts w:hint="eastAsia" w:cs="Times New Roman"/>
                <w:color w:val="auto"/>
                <w:lang w:val="en-US" w:eastAsia="zh-CN"/>
              </w:rPr>
              <w:t>/</w:t>
            </w:r>
          </w:p>
        </w:tc>
        <w:tc>
          <w:tcPr>
            <w:tcW w:w="4644" w:type="dxa"/>
            <w:tcBorders>
              <w:right w:val="single" w:color="000000" w:sz="2" w:space="0"/>
            </w:tcBorders>
            <w:vAlign w:val="center"/>
          </w:tcPr>
          <w:p w14:paraId="63E243BB">
            <w:pPr>
              <w:pStyle w:val="23"/>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根据</w:t>
            </w:r>
            <w:r>
              <w:rPr>
                <w:rFonts w:hint="default" w:ascii="Times New Roman" w:hAnsi="Times New Roman" w:cs="Times New Roman"/>
                <w:color w:val="auto"/>
              </w:rPr>
              <w:t>《生活垃圾焚烧飞灰固化稳定化处理技术标准》</w:t>
            </w:r>
            <w:r>
              <w:rPr>
                <w:rFonts w:hint="default" w:ascii="Times New Roman" w:hAnsi="Times New Roman" w:cs="Times New Roman"/>
                <w:color w:val="auto"/>
                <w:lang w:eastAsia="zh-CN"/>
              </w:rPr>
              <w:t>（CJJ/T316-2023）</w:t>
            </w:r>
            <w:r>
              <w:rPr>
                <w:rFonts w:hint="eastAsia" w:ascii="Times New Roman" w:hAnsi="Times New Roman" w:cs="Times New Roman"/>
                <w:color w:val="auto"/>
                <w:lang w:val="en-US" w:eastAsia="zh-CN"/>
              </w:rPr>
              <w:t>要求，无需设置初期雨水池。</w:t>
            </w:r>
          </w:p>
        </w:tc>
        <w:tc>
          <w:tcPr>
            <w:tcW w:w="1824" w:type="dxa"/>
            <w:tcBorders>
              <w:left w:val="single" w:color="000000" w:sz="2" w:space="0"/>
              <w:right w:val="nil"/>
            </w:tcBorders>
            <w:vAlign w:val="center"/>
          </w:tcPr>
          <w:p w14:paraId="2EE77983">
            <w:pPr>
              <w:pStyle w:val="23"/>
              <w:bidi w:val="0"/>
              <w:rPr>
                <w:rFonts w:hint="default" w:ascii="Times New Roman" w:hAnsi="Times New Roman" w:cs="Times New Roman"/>
                <w:color w:val="auto"/>
                <w:lang w:val="en-US" w:eastAsia="zh-CN"/>
              </w:rPr>
            </w:pPr>
            <w:r>
              <w:rPr>
                <w:rFonts w:hint="eastAsia" w:cs="Times New Roman"/>
                <w:color w:val="auto"/>
                <w:lang w:val="en-US" w:eastAsia="zh-CN"/>
              </w:rPr>
              <w:t>无需设置初期雨水池，已落实</w:t>
            </w:r>
          </w:p>
        </w:tc>
      </w:tr>
      <w:tr w14:paraId="6A2E48A1">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vMerge w:val="restart"/>
            <w:tcBorders>
              <w:left w:val="nil"/>
            </w:tcBorders>
            <w:vAlign w:val="center"/>
          </w:tcPr>
          <w:p w14:paraId="42DF3119">
            <w:pPr>
              <w:pStyle w:val="23"/>
              <w:bidi w:val="0"/>
              <w:rPr>
                <w:rFonts w:hint="default" w:ascii="Times New Roman" w:hAnsi="Times New Roman" w:cs="Times New Roman"/>
                <w:color w:val="auto"/>
              </w:rPr>
            </w:pPr>
            <w:r>
              <w:rPr>
                <w:rFonts w:hint="default" w:ascii="Times New Roman" w:hAnsi="Times New Roman" w:cs="Times New Roman"/>
                <w:color w:val="auto"/>
              </w:rPr>
              <w:t>飞灰固化体质量要求</w:t>
            </w:r>
          </w:p>
        </w:tc>
        <w:tc>
          <w:tcPr>
            <w:tcW w:w="3391" w:type="dxa"/>
            <w:shd w:val="clear" w:color="auto" w:fill="auto"/>
            <w:vAlign w:val="center"/>
          </w:tcPr>
          <w:p w14:paraId="44785760">
            <w:pPr>
              <w:pStyle w:val="23"/>
              <w:bidi w:val="0"/>
              <w:ind w:firstLine="0" w:firstLineChars="0"/>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color w:val="auto"/>
              </w:rPr>
              <w:t>飞灰固化体于养护区内的养护时间不应少于3天。</w:t>
            </w:r>
          </w:p>
        </w:tc>
        <w:tc>
          <w:tcPr>
            <w:tcW w:w="3391" w:type="dxa"/>
            <w:shd w:val="clear" w:color="auto" w:fill="auto"/>
            <w:vAlign w:val="center"/>
          </w:tcPr>
          <w:p w14:paraId="3DB7822F">
            <w:pPr>
              <w:pStyle w:val="23"/>
              <w:bidi w:val="0"/>
              <w:rPr>
                <w:rFonts w:hint="eastAsia" w:cs="Times New Roman"/>
                <w:color w:val="auto"/>
                <w:lang w:val="en-US" w:eastAsia="zh-CN"/>
              </w:rPr>
            </w:pPr>
            <w:r>
              <w:rPr>
                <w:rFonts w:hint="eastAsia" w:cs="Times New Roman"/>
                <w:color w:val="auto"/>
                <w:lang w:val="en-US" w:eastAsia="zh-CN"/>
              </w:rPr>
              <w:t>飞灰稳定化处理应符合下列规定：</w:t>
            </w:r>
          </w:p>
          <w:p w14:paraId="2B922393">
            <w:pPr>
              <w:pStyle w:val="23"/>
              <w:bidi w:val="0"/>
              <w:jc w:val="left"/>
              <w:rPr>
                <w:rFonts w:hint="eastAsia" w:cs="Times New Roman"/>
                <w:color w:val="auto"/>
                <w:lang w:val="en-US" w:eastAsia="zh-CN"/>
              </w:rPr>
            </w:pPr>
            <w:r>
              <w:rPr>
                <w:rFonts w:hint="eastAsia" w:cs="Times New Roman"/>
                <w:color w:val="auto"/>
                <w:lang w:val="en-US" w:eastAsia="zh-CN"/>
              </w:rPr>
              <w:t>①稳定剂添加量不应小于飞灰处理量的3%。</w:t>
            </w:r>
          </w:p>
          <w:p w14:paraId="571A072A">
            <w:pPr>
              <w:pStyle w:val="23"/>
              <w:bidi w:val="0"/>
              <w:ind w:firstLine="0" w:firstLineChars="0"/>
              <w:jc w:val="left"/>
              <w:rPr>
                <w:rFonts w:hint="default" w:ascii="Times New Roman" w:hAnsi="Times New Roman" w:eastAsia="宋体" w:cs="Times New Roman"/>
                <w:snapToGrid w:val="0"/>
                <w:color w:val="auto"/>
                <w:kern w:val="0"/>
                <w:sz w:val="21"/>
                <w:szCs w:val="21"/>
                <w:lang w:val="en-US" w:eastAsia="zh-CN" w:bidi="ar-SA"/>
              </w:rPr>
            </w:pPr>
            <w:r>
              <w:rPr>
                <w:rFonts w:hint="eastAsia" w:cs="Times New Roman"/>
                <w:color w:val="auto"/>
                <w:lang w:val="en-US" w:eastAsia="zh-CN"/>
              </w:rPr>
              <w:t>②稳定化处理时间不应少于2min。</w:t>
            </w:r>
          </w:p>
        </w:tc>
        <w:tc>
          <w:tcPr>
            <w:tcW w:w="4644" w:type="dxa"/>
            <w:tcBorders>
              <w:right w:val="single" w:color="000000" w:sz="2" w:space="0"/>
            </w:tcBorders>
            <w:shd w:val="clear" w:color="auto" w:fill="auto"/>
            <w:vAlign w:val="center"/>
          </w:tcPr>
          <w:p w14:paraId="20B5B83E">
            <w:pPr>
              <w:pStyle w:val="23"/>
              <w:bidi w:val="0"/>
              <w:jc w:val="left"/>
              <w:rPr>
                <w:rFonts w:hint="eastAsia" w:cs="Times New Roman"/>
                <w:color w:val="auto"/>
                <w:lang w:val="en-US" w:eastAsia="zh-CN"/>
              </w:rPr>
            </w:pPr>
            <w:r>
              <w:rPr>
                <w:rFonts w:hint="eastAsia" w:cs="Times New Roman"/>
                <w:color w:val="auto"/>
                <w:lang w:val="en-US" w:eastAsia="zh-CN"/>
              </w:rPr>
              <w:t>①稳定剂添加量约占飞灰处理量的8%。</w:t>
            </w:r>
          </w:p>
          <w:p w14:paraId="3FB27B9C">
            <w:pPr>
              <w:pStyle w:val="23"/>
              <w:bidi w:val="0"/>
              <w:ind w:firstLine="0" w:firstLineChars="0"/>
              <w:jc w:val="left"/>
              <w:rPr>
                <w:rFonts w:hint="default" w:ascii="Times New Roman" w:hAnsi="Times New Roman" w:eastAsia="宋体" w:cs="Times New Roman"/>
                <w:snapToGrid w:val="0"/>
                <w:color w:val="auto"/>
                <w:kern w:val="0"/>
                <w:sz w:val="21"/>
                <w:szCs w:val="21"/>
                <w:lang w:val="en-US" w:eastAsia="zh-CN" w:bidi="ar-SA"/>
              </w:rPr>
            </w:pPr>
            <w:r>
              <w:rPr>
                <w:rFonts w:hint="eastAsia" w:cs="Times New Roman"/>
                <w:color w:val="auto"/>
                <w:lang w:val="en-US" w:eastAsia="zh-CN"/>
              </w:rPr>
              <w:t>②稳定化处理时间为127s。</w:t>
            </w:r>
          </w:p>
        </w:tc>
        <w:tc>
          <w:tcPr>
            <w:tcW w:w="1824" w:type="dxa"/>
            <w:tcBorders>
              <w:left w:val="single" w:color="000000" w:sz="2" w:space="0"/>
              <w:right w:val="nil"/>
            </w:tcBorders>
            <w:shd w:val="clear" w:color="auto" w:fill="auto"/>
            <w:vAlign w:val="center"/>
          </w:tcPr>
          <w:p w14:paraId="312AE97B">
            <w:pPr>
              <w:pStyle w:val="23"/>
              <w:bidi w:val="0"/>
              <w:ind w:firstLine="0" w:firstLineChars="0"/>
              <w:rPr>
                <w:rFonts w:hint="default" w:ascii="Times New Roman" w:hAnsi="Times New Roman" w:eastAsia="宋体" w:cs="Times New Roman"/>
                <w:snapToGrid w:val="0"/>
                <w:color w:val="auto"/>
                <w:kern w:val="0"/>
                <w:sz w:val="21"/>
                <w:szCs w:val="21"/>
                <w:lang w:val="en-US" w:eastAsia="zh-CN" w:bidi="ar-SA"/>
              </w:rPr>
            </w:pPr>
            <w:r>
              <w:rPr>
                <w:rFonts w:hint="eastAsia" w:cs="Times New Roman"/>
                <w:color w:val="auto"/>
                <w:lang w:val="en-US" w:eastAsia="zh-CN"/>
              </w:rPr>
              <w:t>已落实</w:t>
            </w:r>
          </w:p>
        </w:tc>
      </w:tr>
      <w:tr w14:paraId="420A39B3">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vMerge w:val="continue"/>
            <w:tcBorders>
              <w:left w:val="nil"/>
            </w:tcBorders>
            <w:vAlign w:val="center"/>
          </w:tcPr>
          <w:p w14:paraId="72D00DB2">
            <w:pPr>
              <w:pStyle w:val="23"/>
              <w:bidi w:val="0"/>
              <w:rPr>
                <w:rFonts w:hint="default" w:ascii="Times New Roman" w:hAnsi="Times New Roman" w:cs="Times New Roman"/>
                <w:color w:val="auto"/>
                <w:lang w:eastAsia="en-US"/>
              </w:rPr>
            </w:pPr>
          </w:p>
        </w:tc>
        <w:tc>
          <w:tcPr>
            <w:tcW w:w="3391" w:type="dxa"/>
            <w:vAlign w:val="center"/>
          </w:tcPr>
          <w:p w14:paraId="61ABA456">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lang w:eastAsia="en-US"/>
              </w:rPr>
              <w:t>飞灰固化体成型后不应存在泌出的富余水。</w:t>
            </w:r>
          </w:p>
        </w:tc>
        <w:tc>
          <w:tcPr>
            <w:tcW w:w="3391" w:type="dxa"/>
            <w:vAlign w:val="center"/>
          </w:tcPr>
          <w:p w14:paraId="2D19727C">
            <w:pPr>
              <w:pStyle w:val="23"/>
              <w:bidi w:val="0"/>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飞灰固化稳定化处理加水量应根据飞灰处理工艺和处置要求确定，不宜大于干固体质量的30%。</w:t>
            </w:r>
          </w:p>
        </w:tc>
        <w:tc>
          <w:tcPr>
            <w:tcW w:w="4644" w:type="dxa"/>
            <w:tcBorders>
              <w:right w:val="single" w:color="000000" w:sz="2" w:space="0"/>
            </w:tcBorders>
            <w:vAlign w:val="center"/>
          </w:tcPr>
          <w:p w14:paraId="386792FE">
            <w:pPr>
              <w:pStyle w:val="23"/>
              <w:bidi w:val="0"/>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飞灰固化稳定化处理加水量</w:t>
            </w:r>
            <w:r>
              <w:rPr>
                <w:rFonts w:hint="eastAsia" w:cs="Times New Roman"/>
                <w:color w:val="auto"/>
                <w:lang w:val="en-US" w:eastAsia="zh-CN"/>
              </w:rPr>
              <w:t>为干飞灰</w:t>
            </w:r>
            <w:r>
              <w:rPr>
                <w:rFonts w:hint="eastAsia" w:ascii="Times New Roman" w:hAnsi="Times New Roman" w:cs="Times New Roman"/>
                <w:color w:val="auto"/>
                <w:lang w:val="en-US" w:eastAsia="zh-CN"/>
              </w:rPr>
              <w:t>的30%。</w:t>
            </w:r>
          </w:p>
        </w:tc>
        <w:tc>
          <w:tcPr>
            <w:tcW w:w="1824" w:type="dxa"/>
            <w:tcBorders>
              <w:left w:val="single" w:color="000000" w:sz="2" w:space="0"/>
              <w:right w:val="nil"/>
            </w:tcBorders>
            <w:vAlign w:val="center"/>
          </w:tcPr>
          <w:p w14:paraId="4BFF4F41">
            <w:pPr>
              <w:pStyle w:val="23"/>
              <w:bidi w:val="0"/>
              <w:rPr>
                <w:rFonts w:hint="default" w:ascii="Times New Roman" w:hAnsi="Times New Roman" w:eastAsia="宋体" w:cs="Times New Roman"/>
                <w:color w:val="auto"/>
                <w:lang w:val="en-US" w:eastAsia="zh-CN"/>
              </w:rPr>
            </w:pPr>
            <w:r>
              <w:rPr>
                <w:rFonts w:hint="eastAsia" w:cs="Times New Roman"/>
                <w:color w:val="auto"/>
                <w:lang w:val="en-US" w:eastAsia="zh-CN"/>
              </w:rPr>
              <w:t>已落实</w:t>
            </w:r>
          </w:p>
        </w:tc>
      </w:tr>
      <w:tr w14:paraId="5CE51108">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vMerge w:val="continue"/>
            <w:tcBorders>
              <w:left w:val="nil"/>
            </w:tcBorders>
            <w:vAlign w:val="center"/>
          </w:tcPr>
          <w:p w14:paraId="2DA624E8">
            <w:pPr>
              <w:pStyle w:val="23"/>
              <w:bidi w:val="0"/>
              <w:rPr>
                <w:rFonts w:hint="default" w:ascii="Times New Roman" w:hAnsi="Times New Roman" w:cs="Times New Roman"/>
                <w:color w:val="auto"/>
                <w:lang w:eastAsia="en-US"/>
              </w:rPr>
            </w:pPr>
          </w:p>
        </w:tc>
        <w:tc>
          <w:tcPr>
            <w:tcW w:w="3391" w:type="dxa"/>
            <w:vAlign w:val="center"/>
          </w:tcPr>
          <w:p w14:paraId="22099803">
            <w:pPr>
              <w:pStyle w:val="23"/>
              <w:bidi w:val="0"/>
              <w:rPr>
                <w:rFonts w:hint="default" w:ascii="Times New Roman" w:hAnsi="Times New Roman" w:cs="Times New Roman"/>
                <w:color w:val="auto"/>
                <w:lang w:val="en-US" w:eastAsia="en-US"/>
              </w:rPr>
            </w:pPr>
            <w:r>
              <w:rPr>
                <w:rFonts w:hint="default" w:ascii="Times New Roman" w:hAnsi="Times New Roman" w:cs="Times New Roman"/>
                <w:color w:val="auto"/>
                <w:lang w:eastAsia="en-US"/>
              </w:rPr>
              <w:t>飞灰固化体增容比应小于2.0，固化剂和稳定剂添加量不宜大于30%。</w:t>
            </w:r>
          </w:p>
        </w:tc>
        <w:tc>
          <w:tcPr>
            <w:tcW w:w="3391" w:type="dxa"/>
            <w:vAlign w:val="center"/>
          </w:tcPr>
          <w:p w14:paraId="3B57E75A">
            <w:pPr>
              <w:pStyle w:val="23"/>
              <w:bidi w:val="0"/>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飞灰处理物增容比应小于1.5</w:t>
            </w:r>
          </w:p>
        </w:tc>
        <w:tc>
          <w:tcPr>
            <w:tcW w:w="4644" w:type="dxa"/>
            <w:tcBorders>
              <w:right w:val="single" w:color="000000" w:sz="2" w:space="0"/>
            </w:tcBorders>
            <w:vAlign w:val="center"/>
          </w:tcPr>
          <w:p w14:paraId="55BB0E0B">
            <w:pPr>
              <w:pStyle w:val="23"/>
              <w:bidi w:val="0"/>
              <w:rPr>
                <w:rFonts w:hint="default" w:ascii="Times New Roman" w:hAnsi="Times New Roman" w:cs="Times New Roman"/>
                <w:color w:val="auto"/>
                <w:lang w:eastAsia="en-US"/>
              </w:rPr>
            </w:pPr>
            <w:r>
              <w:rPr>
                <w:rFonts w:hint="default" w:ascii="Times New Roman" w:hAnsi="Times New Roman" w:cs="Times New Roman"/>
                <w:color w:val="auto"/>
                <w:lang w:eastAsia="en-US"/>
              </w:rPr>
              <w:t>飞灰固化体增容比</w:t>
            </w:r>
            <w:r>
              <w:rPr>
                <w:rFonts w:hint="eastAsia" w:ascii="Times New Roman" w:hAnsi="Times New Roman" w:cs="Times New Roman"/>
                <w:color w:val="auto"/>
                <w:lang w:val="en-US" w:eastAsia="zh-CN"/>
              </w:rPr>
              <w:t>约</w:t>
            </w:r>
            <w:r>
              <w:rPr>
                <w:rFonts w:hint="default" w:ascii="Times New Roman" w:hAnsi="Times New Roman" w:cs="Times New Roman"/>
                <w:color w:val="auto"/>
                <w:lang w:val="en-US" w:eastAsia="zh-CN"/>
              </w:rPr>
              <w:t>1.37</w:t>
            </w:r>
            <w:r>
              <w:rPr>
                <w:rFonts w:hint="default" w:ascii="Times New Roman" w:hAnsi="Times New Roman" w:cs="Times New Roman"/>
                <w:color w:val="auto"/>
                <w:lang w:eastAsia="en-US"/>
              </w:rPr>
              <w:t>。</w:t>
            </w:r>
          </w:p>
        </w:tc>
        <w:tc>
          <w:tcPr>
            <w:tcW w:w="1824" w:type="dxa"/>
            <w:tcBorders>
              <w:left w:val="single" w:color="000000" w:sz="2" w:space="0"/>
              <w:right w:val="nil"/>
            </w:tcBorders>
            <w:vAlign w:val="center"/>
          </w:tcPr>
          <w:p w14:paraId="5CACB1D3">
            <w:pPr>
              <w:pStyle w:val="23"/>
              <w:bidi w:val="0"/>
              <w:rPr>
                <w:rFonts w:hint="default" w:ascii="Times New Roman" w:hAnsi="Times New Roman" w:cs="Times New Roman"/>
                <w:color w:val="auto"/>
                <w:lang w:val="en-US" w:eastAsia="en-US"/>
              </w:rPr>
            </w:pPr>
            <w:r>
              <w:rPr>
                <w:rFonts w:hint="eastAsia" w:cs="Times New Roman"/>
                <w:color w:val="auto"/>
                <w:lang w:val="en-US" w:eastAsia="zh-CN"/>
              </w:rPr>
              <w:t>已落实</w:t>
            </w:r>
          </w:p>
        </w:tc>
      </w:tr>
      <w:tr w14:paraId="3826C5AE">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vMerge w:val="continue"/>
            <w:tcBorders>
              <w:left w:val="nil"/>
            </w:tcBorders>
            <w:vAlign w:val="center"/>
          </w:tcPr>
          <w:p w14:paraId="130D0C56">
            <w:pPr>
              <w:pStyle w:val="23"/>
              <w:bidi w:val="0"/>
              <w:rPr>
                <w:rFonts w:hint="default" w:ascii="Times New Roman" w:hAnsi="Times New Roman" w:cs="Times New Roman"/>
                <w:color w:val="auto"/>
                <w:lang w:eastAsia="en-US"/>
              </w:rPr>
            </w:pPr>
          </w:p>
        </w:tc>
        <w:tc>
          <w:tcPr>
            <w:tcW w:w="3391" w:type="dxa"/>
            <w:vAlign w:val="center"/>
          </w:tcPr>
          <w:p w14:paraId="6882F30F">
            <w:pPr>
              <w:pStyle w:val="23"/>
              <w:bidi w:val="0"/>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w:t>
            </w:r>
          </w:p>
        </w:tc>
        <w:tc>
          <w:tcPr>
            <w:tcW w:w="3391" w:type="dxa"/>
            <w:vAlign w:val="center"/>
          </w:tcPr>
          <w:p w14:paraId="5D655296">
            <w:pPr>
              <w:pStyle w:val="23"/>
              <w:bidi w:val="0"/>
              <w:jc w:val="left"/>
              <w:rPr>
                <w:rFonts w:hint="eastAsia" w:ascii="Times New Roman" w:hAnsi="Times New Roman" w:eastAsia="宋体" w:cs="Times New Roman"/>
                <w:color w:val="auto"/>
                <w:lang w:val="en-US" w:eastAsia="zh-CN"/>
              </w:rPr>
            </w:pPr>
            <w:r>
              <w:rPr>
                <w:rFonts w:hint="default" w:ascii="Times New Roman" w:hAnsi="Times New Roman" w:cs="Times New Roman"/>
                <w:color w:val="auto"/>
              </w:rPr>
              <w:t>飞灰稳定剂应具有长期稳定性，不宜具有环境危害性和生物毒性</w:t>
            </w:r>
            <w:r>
              <w:rPr>
                <w:rFonts w:hint="eastAsia" w:cs="Times New Roman"/>
                <w:color w:val="auto"/>
                <w:lang w:eastAsia="zh-CN"/>
              </w:rPr>
              <w:t>。</w:t>
            </w:r>
          </w:p>
        </w:tc>
        <w:tc>
          <w:tcPr>
            <w:tcW w:w="4644" w:type="dxa"/>
            <w:tcBorders>
              <w:right w:val="single" w:color="000000" w:sz="2" w:space="0"/>
            </w:tcBorders>
            <w:vAlign w:val="center"/>
          </w:tcPr>
          <w:p w14:paraId="005D63A6">
            <w:pPr>
              <w:pStyle w:val="23"/>
              <w:bidi w:val="0"/>
              <w:jc w:val="left"/>
              <w:rPr>
                <w:rFonts w:hint="eastAsia" w:ascii="Times New Roman" w:hAnsi="Times New Roman" w:eastAsia="宋体" w:cs="Times New Roman"/>
                <w:color w:val="auto"/>
                <w:lang w:eastAsia="zh-CN"/>
              </w:rPr>
            </w:pPr>
            <w:r>
              <w:rPr>
                <w:rFonts w:hint="default"/>
                <w:color w:val="auto"/>
              </w:rPr>
              <w:t>螯合剂</w:t>
            </w:r>
            <w:r>
              <w:rPr>
                <w:rFonts w:hint="eastAsia"/>
                <w:color w:val="auto"/>
                <w:lang w:val="en-US" w:eastAsia="zh-CN"/>
              </w:rPr>
              <w:t>主要成分是</w:t>
            </w:r>
            <w:r>
              <w:rPr>
                <w:rFonts w:hint="default"/>
                <w:color w:val="auto"/>
              </w:rPr>
              <w:t>二乙基二硫代氨基甲酸钠</w:t>
            </w:r>
            <w:r>
              <w:rPr>
                <w:rFonts w:hint="eastAsia"/>
                <w:color w:val="auto"/>
                <w:lang w:eastAsia="zh-CN"/>
              </w:rPr>
              <w:t>，</w:t>
            </w:r>
            <w:r>
              <w:rPr>
                <w:rFonts w:hint="default"/>
                <w:color w:val="auto"/>
                <w:lang w:eastAsia="en-US"/>
              </w:rPr>
              <w:fldChar w:fldCharType="begin"/>
            </w:r>
            <w:r>
              <w:rPr>
                <w:rFonts w:hint="default"/>
                <w:color w:val="auto"/>
                <w:lang w:eastAsia="en-US"/>
              </w:rPr>
              <w:instrText xml:space="preserve"> HYPERLINK "https://baike.so.com/doc/5572376-5787572.html" \t "https://baike.so.com/doc/_blank" </w:instrText>
            </w:r>
            <w:r>
              <w:rPr>
                <w:rFonts w:hint="default"/>
                <w:color w:val="auto"/>
                <w:lang w:eastAsia="en-US"/>
              </w:rPr>
              <w:fldChar w:fldCharType="separate"/>
            </w:r>
            <w:r>
              <w:rPr>
                <w:rFonts w:hint="default"/>
                <w:color w:val="auto"/>
                <w:lang w:eastAsia="en-US"/>
              </w:rPr>
              <w:t>半数致死量</w:t>
            </w:r>
            <w:r>
              <w:rPr>
                <w:rFonts w:hint="default"/>
                <w:color w:val="auto"/>
                <w:lang w:eastAsia="en-US"/>
              </w:rPr>
              <w:fldChar w:fldCharType="end"/>
            </w:r>
            <w:r>
              <w:rPr>
                <w:rFonts w:hint="default"/>
                <w:color w:val="auto"/>
                <w:lang w:eastAsia="en-US"/>
              </w:rPr>
              <w:t>(大鼠，经口)2830mg/kg，</w:t>
            </w:r>
            <w:r>
              <w:rPr>
                <w:rFonts w:hint="default" w:ascii="Times New Roman" w:hAnsi="Times New Roman" w:cs="Times New Roman"/>
                <w:color w:val="auto"/>
              </w:rPr>
              <w:t>不具有环境危害性和生物毒性</w:t>
            </w:r>
            <w:r>
              <w:rPr>
                <w:rFonts w:hint="eastAsia"/>
                <w:color w:val="auto"/>
                <w:lang w:eastAsia="zh-CN"/>
              </w:rPr>
              <w:t>。</w:t>
            </w:r>
          </w:p>
        </w:tc>
        <w:tc>
          <w:tcPr>
            <w:tcW w:w="1824" w:type="dxa"/>
            <w:tcBorders>
              <w:left w:val="single" w:color="000000" w:sz="2" w:space="0"/>
              <w:right w:val="nil"/>
            </w:tcBorders>
            <w:vAlign w:val="center"/>
          </w:tcPr>
          <w:p w14:paraId="765C7FCF">
            <w:pPr>
              <w:pStyle w:val="23"/>
              <w:bidi w:val="0"/>
              <w:rPr>
                <w:rFonts w:hint="eastAsia" w:ascii="Times New Roman" w:hAnsi="Times New Roman" w:cs="Times New Roman"/>
                <w:color w:val="auto"/>
                <w:lang w:val="en-US" w:eastAsia="zh-CN"/>
              </w:rPr>
            </w:pPr>
            <w:r>
              <w:rPr>
                <w:rFonts w:hint="eastAsia" w:cs="Times New Roman"/>
                <w:color w:val="auto"/>
                <w:lang w:val="en-US" w:eastAsia="zh-CN"/>
              </w:rPr>
              <w:t>已落实</w:t>
            </w:r>
          </w:p>
        </w:tc>
      </w:tr>
      <w:tr w14:paraId="3B59EED7">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vMerge w:val="continue"/>
            <w:tcBorders>
              <w:left w:val="nil"/>
            </w:tcBorders>
            <w:vAlign w:val="center"/>
          </w:tcPr>
          <w:p w14:paraId="69F0E6BD">
            <w:pPr>
              <w:pStyle w:val="23"/>
              <w:bidi w:val="0"/>
              <w:rPr>
                <w:rFonts w:hint="default" w:ascii="Times New Roman" w:hAnsi="Times New Roman" w:cs="Times New Roman"/>
                <w:color w:val="auto"/>
                <w:lang w:eastAsia="en-US"/>
              </w:rPr>
            </w:pPr>
          </w:p>
        </w:tc>
        <w:tc>
          <w:tcPr>
            <w:tcW w:w="3391" w:type="dxa"/>
            <w:vAlign w:val="center"/>
          </w:tcPr>
          <w:p w14:paraId="72CF5457">
            <w:pPr>
              <w:pStyle w:val="23"/>
              <w:bidi w:val="0"/>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w:t>
            </w:r>
          </w:p>
        </w:tc>
        <w:tc>
          <w:tcPr>
            <w:tcW w:w="3391" w:type="dxa"/>
            <w:vAlign w:val="center"/>
          </w:tcPr>
          <w:p w14:paraId="22FE39C0">
            <w:pPr>
              <w:pStyle w:val="23"/>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飞灰处理物含水率、浸出毒性和二噁英含量应符合处置工艺的要求。</w:t>
            </w:r>
          </w:p>
        </w:tc>
        <w:tc>
          <w:tcPr>
            <w:tcW w:w="4644" w:type="dxa"/>
            <w:tcBorders>
              <w:right w:val="single" w:color="000000" w:sz="2" w:space="0"/>
            </w:tcBorders>
            <w:vAlign w:val="center"/>
          </w:tcPr>
          <w:p w14:paraId="39419654">
            <w:pPr>
              <w:pStyle w:val="23"/>
              <w:bidi w:val="0"/>
              <w:rPr>
                <w:rFonts w:hint="default" w:ascii="Times New Roman" w:hAnsi="Times New Roman" w:cs="Times New Roman"/>
                <w:color w:val="auto"/>
                <w:lang w:eastAsia="en-US"/>
              </w:rPr>
            </w:pPr>
            <w:r>
              <w:rPr>
                <w:rFonts w:hint="default" w:ascii="Times New Roman" w:hAnsi="Times New Roman" w:cs="Times New Roman"/>
                <w:color w:val="auto"/>
                <w:kern w:val="1"/>
                <w:u w:val="none"/>
              </w:rPr>
              <w:t>飞灰固化处理后的产物</w:t>
            </w:r>
            <w:r>
              <w:rPr>
                <w:rFonts w:hint="eastAsia" w:cs="Times New Roman"/>
                <w:color w:val="auto"/>
                <w:kern w:val="1"/>
                <w:u w:val="none"/>
                <w:lang w:val="en-US" w:eastAsia="zh-CN"/>
              </w:rPr>
              <w:t>浸出毒性和二噁英</w:t>
            </w:r>
            <w:r>
              <w:rPr>
                <w:rFonts w:hint="default" w:ascii="Times New Roman" w:hAnsi="Times New Roman" w:cs="Times New Roman"/>
                <w:color w:val="auto"/>
                <w:kern w:val="1"/>
                <w:u w:val="none"/>
              </w:rPr>
              <w:t>满足《生活垃圾</w:t>
            </w:r>
            <w:r>
              <w:rPr>
                <w:rFonts w:hint="eastAsia" w:cs="Times New Roman"/>
                <w:color w:val="auto"/>
                <w:kern w:val="1"/>
                <w:u w:val="none"/>
                <w:lang w:val="en-US" w:eastAsia="zh-CN"/>
              </w:rPr>
              <w:t>填埋场污染控制标准</w:t>
            </w:r>
            <w:r>
              <w:rPr>
                <w:rFonts w:hint="default" w:ascii="Times New Roman" w:hAnsi="Times New Roman" w:cs="Times New Roman"/>
                <w:color w:val="auto"/>
                <w:kern w:val="1"/>
                <w:u w:val="none"/>
              </w:rPr>
              <w:t>》（</w:t>
            </w:r>
            <w:r>
              <w:rPr>
                <w:rFonts w:hint="eastAsia" w:cs="Times New Roman"/>
                <w:color w:val="auto"/>
                <w:kern w:val="1"/>
                <w:u w:val="none"/>
                <w:lang w:val="en-US" w:eastAsia="zh-CN"/>
              </w:rPr>
              <w:t>GB16889-2024</w:t>
            </w:r>
            <w:r>
              <w:rPr>
                <w:rFonts w:hint="default" w:ascii="Times New Roman" w:hAnsi="Times New Roman" w:cs="Times New Roman"/>
                <w:color w:val="auto"/>
                <w:kern w:val="1"/>
                <w:u w:val="none"/>
              </w:rPr>
              <w:t>）中的相关要求</w:t>
            </w:r>
            <w:r>
              <w:rPr>
                <w:rFonts w:hint="eastAsia" w:cs="Times New Roman"/>
                <w:color w:val="auto"/>
                <w:kern w:val="1"/>
                <w:u w:val="none"/>
                <w:lang w:eastAsia="zh-CN"/>
              </w:rPr>
              <w:t>，</w:t>
            </w:r>
            <w:r>
              <w:rPr>
                <w:rFonts w:hint="eastAsia" w:cs="Times New Roman"/>
                <w:color w:val="auto"/>
                <w:kern w:val="1"/>
                <w:u w:val="none"/>
                <w:lang w:val="en-US" w:eastAsia="zh-CN"/>
              </w:rPr>
              <w:t>详见表9.5-5、9.2-6</w:t>
            </w:r>
            <w:r>
              <w:rPr>
                <w:rFonts w:hint="default" w:ascii="Times New Roman" w:hAnsi="Times New Roman" w:cs="Times New Roman"/>
                <w:color w:val="auto"/>
                <w:kern w:val="1"/>
                <w:u w:val="none"/>
                <w:lang w:eastAsia="zh-CN"/>
              </w:rPr>
              <w:t>。</w:t>
            </w:r>
          </w:p>
        </w:tc>
        <w:tc>
          <w:tcPr>
            <w:tcW w:w="1824" w:type="dxa"/>
            <w:tcBorders>
              <w:left w:val="single" w:color="000000" w:sz="2" w:space="0"/>
              <w:right w:val="nil"/>
            </w:tcBorders>
            <w:vAlign w:val="center"/>
          </w:tcPr>
          <w:p w14:paraId="4109D149">
            <w:pPr>
              <w:pStyle w:val="23"/>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已落实</w:t>
            </w:r>
          </w:p>
        </w:tc>
      </w:tr>
      <w:tr w14:paraId="2B06037F">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vMerge w:val="continue"/>
            <w:tcBorders>
              <w:left w:val="nil"/>
            </w:tcBorders>
            <w:vAlign w:val="center"/>
          </w:tcPr>
          <w:p w14:paraId="2BD02E3E">
            <w:pPr>
              <w:pStyle w:val="23"/>
              <w:bidi w:val="0"/>
              <w:rPr>
                <w:rFonts w:hint="default" w:ascii="Times New Roman" w:hAnsi="Times New Roman" w:cs="Times New Roman"/>
                <w:color w:val="auto"/>
              </w:rPr>
            </w:pPr>
          </w:p>
        </w:tc>
        <w:tc>
          <w:tcPr>
            <w:tcW w:w="3391" w:type="dxa"/>
            <w:vAlign w:val="center"/>
          </w:tcPr>
          <w:p w14:paraId="72B1AAB8">
            <w:pPr>
              <w:pStyle w:val="23"/>
              <w:bidi w:val="0"/>
              <w:jc w:val="left"/>
              <w:rPr>
                <w:rFonts w:hint="default" w:ascii="Times New Roman" w:hAnsi="Times New Roman" w:cs="Times New Roman"/>
                <w:color w:val="auto"/>
              </w:rPr>
            </w:pPr>
            <w:r>
              <w:rPr>
                <w:rFonts w:hint="default" w:ascii="Times New Roman" w:hAnsi="Times New Roman" w:cs="Times New Roman"/>
                <w:color w:val="auto"/>
              </w:rPr>
              <w:t>初期稳定的飞灰固化体性能应满足下列要求，只有同时满足下列性能指标的飞灰固化体才能离开飞灰处理站：</w:t>
            </w:r>
          </w:p>
          <w:p w14:paraId="42A4CA36">
            <w:pPr>
              <w:pStyle w:val="23"/>
              <w:bidi w:val="0"/>
              <w:jc w:val="left"/>
              <w:rPr>
                <w:rFonts w:hint="default" w:ascii="Times New Roman" w:hAnsi="Times New Roman" w:cs="Times New Roman"/>
                <w:color w:val="auto"/>
              </w:rPr>
            </w:pPr>
            <w:r>
              <w:rPr>
                <w:rFonts w:hint="default" w:ascii="Times New Roman" w:hAnsi="Times New Roman" w:cs="Times New Roman"/>
                <w:color w:val="auto"/>
              </w:rPr>
              <w:t>①飞灰固化体抗压强度应≥1MPa；</w:t>
            </w:r>
          </w:p>
          <w:p w14:paraId="2F5875ED">
            <w:pPr>
              <w:pStyle w:val="23"/>
              <w:bidi w:val="0"/>
              <w:jc w:val="left"/>
              <w:rPr>
                <w:rFonts w:hint="default" w:ascii="Times New Roman" w:hAnsi="Times New Roman" w:cs="Times New Roman"/>
                <w:color w:val="auto"/>
              </w:rPr>
            </w:pPr>
            <w:r>
              <w:rPr>
                <w:rFonts w:hint="default" w:ascii="Times New Roman" w:hAnsi="Times New Roman" w:cs="Times New Roman"/>
                <w:color w:val="auto"/>
              </w:rPr>
              <w:t>②飞灰固化体抗冲击剥落率应≤5%；</w:t>
            </w:r>
          </w:p>
          <w:p w14:paraId="02B95935">
            <w:pPr>
              <w:pStyle w:val="23"/>
              <w:bidi w:val="0"/>
              <w:jc w:val="left"/>
              <w:rPr>
                <w:rFonts w:hint="default" w:ascii="Times New Roman" w:hAnsi="Times New Roman" w:cs="Times New Roman"/>
                <w:color w:val="auto"/>
              </w:rPr>
            </w:pPr>
            <w:r>
              <w:rPr>
                <w:rFonts w:hint="default" w:ascii="Times New Roman" w:hAnsi="Times New Roman" w:cs="Times New Roman"/>
                <w:color w:val="auto"/>
              </w:rPr>
              <w:t>③飞灰固化体渗透系数应≤1.0×10</w:t>
            </w:r>
            <w:r>
              <w:rPr>
                <w:rFonts w:hint="default" w:ascii="Times New Roman" w:hAnsi="Times New Roman" w:cs="Times New Roman"/>
                <w:color w:val="auto"/>
                <w:vertAlign w:val="superscript"/>
              </w:rPr>
              <w:t>-6</w:t>
            </w:r>
            <w:r>
              <w:rPr>
                <w:rFonts w:hint="default" w:ascii="Times New Roman" w:hAnsi="Times New Roman" w:cs="Times New Roman"/>
                <w:color w:val="auto"/>
              </w:rPr>
              <w:t>cm/s；</w:t>
            </w:r>
          </w:p>
          <w:p w14:paraId="3CC81767">
            <w:pPr>
              <w:pStyle w:val="23"/>
              <w:bidi w:val="0"/>
              <w:jc w:val="left"/>
              <w:rPr>
                <w:rFonts w:hint="default" w:ascii="Times New Roman" w:hAnsi="Times New Roman" w:cs="Times New Roman"/>
                <w:color w:val="auto"/>
              </w:rPr>
            </w:pPr>
            <w:r>
              <w:rPr>
                <w:rFonts w:hint="default" w:ascii="Times New Roman" w:hAnsi="Times New Roman" w:cs="Times New Roman"/>
                <w:color w:val="auto"/>
              </w:rPr>
              <w:t>④飞灰固化体浸出毒性应达到处置场所入场控制标准的要求；</w:t>
            </w:r>
          </w:p>
          <w:p w14:paraId="44D8956C">
            <w:pPr>
              <w:pStyle w:val="23"/>
              <w:bidi w:val="0"/>
              <w:jc w:val="left"/>
              <w:rPr>
                <w:rFonts w:hint="default" w:ascii="Times New Roman" w:hAnsi="Times New Roman" w:cs="Times New Roman"/>
                <w:color w:val="auto"/>
                <w:lang w:val="en-US" w:eastAsia="en-US"/>
              </w:rPr>
            </w:pPr>
            <w:r>
              <w:rPr>
                <w:rFonts w:hint="default" w:ascii="Times New Roman" w:hAnsi="Times New Roman" w:cs="Times New Roman"/>
                <w:color w:val="auto"/>
              </w:rPr>
              <w:t>⑤飞灰固化体抗浸泡试验后，其外观不应有明显的裂缝或龟裂，抗压强度损失率应≤25％。</w:t>
            </w:r>
          </w:p>
        </w:tc>
        <w:tc>
          <w:tcPr>
            <w:tcW w:w="3391" w:type="dxa"/>
            <w:vAlign w:val="center"/>
          </w:tcPr>
          <w:p w14:paraId="41148E2D">
            <w:pPr>
              <w:pStyle w:val="23"/>
              <w:bidi w:val="0"/>
              <w:jc w:val="left"/>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4644" w:type="dxa"/>
            <w:tcBorders>
              <w:right w:val="single" w:color="000000" w:sz="2" w:space="0"/>
            </w:tcBorders>
            <w:vAlign w:val="center"/>
          </w:tcPr>
          <w:p w14:paraId="314EE7DF">
            <w:pPr>
              <w:pStyle w:val="23"/>
              <w:bidi w:val="0"/>
              <w:jc w:val="left"/>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w:t>
            </w:r>
          </w:p>
        </w:tc>
        <w:tc>
          <w:tcPr>
            <w:tcW w:w="1824" w:type="dxa"/>
            <w:tcBorders>
              <w:left w:val="single" w:color="000000" w:sz="2" w:space="0"/>
              <w:right w:val="nil"/>
            </w:tcBorders>
            <w:vAlign w:val="center"/>
          </w:tcPr>
          <w:p w14:paraId="485EB242">
            <w:pPr>
              <w:pStyle w:val="23"/>
              <w:bidi w:val="0"/>
              <w:rPr>
                <w:rFonts w:hint="default" w:ascii="Times New Roman" w:hAnsi="Times New Roman" w:cs="Times New Roman"/>
                <w:color w:val="auto"/>
                <w:lang w:val="en-US" w:eastAsia="en-US"/>
              </w:rPr>
            </w:pPr>
            <w:r>
              <w:rPr>
                <w:rFonts w:hint="eastAsia" w:ascii="Times New Roman" w:hAnsi="Times New Roman" w:cs="Times New Roman"/>
                <w:color w:val="auto"/>
                <w:lang w:val="en-US" w:eastAsia="zh-CN"/>
              </w:rPr>
              <w:t>/</w:t>
            </w:r>
          </w:p>
        </w:tc>
      </w:tr>
      <w:tr w14:paraId="18A33147">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vMerge w:val="continue"/>
            <w:tcBorders>
              <w:left w:val="nil"/>
            </w:tcBorders>
            <w:vAlign w:val="center"/>
          </w:tcPr>
          <w:p w14:paraId="234C665A">
            <w:pPr>
              <w:pStyle w:val="23"/>
              <w:bidi w:val="0"/>
              <w:rPr>
                <w:rFonts w:hint="default" w:ascii="Times New Roman" w:hAnsi="Times New Roman" w:cs="Times New Roman"/>
                <w:color w:val="auto"/>
              </w:rPr>
            </w:pPr>
          </w:p>
        </w:tc>
        <w:tc>
          <w:tcPr>
            <w:tcW w:w="3391" w:type="dxa"/>
            <w:vAlign w:val="center"/>
          </w:tcPr>
          <w:p w14:paraId="61974037">
            <w:pPr>
              <w:pStyle w:val="23"/>
              <w:bidi w:val="0"/>
              <w:jc w:val="left"/>
              <w:rPr>
                <w:rFonts w:hint="default" w:ascii="Times New Roman" w:hAnsi="Times New Roman" w:cs="Times New Roman"/>
                <w:color w:val="auto"/>
                <w:lang w:val="en-US" w:eastAsia="en-US"/>
              </w:rPr>
            </w:pPr>
            <w:r>
              <w:rPr>
                <w:rFonts w:hint="default" w:ascii="Times New Roman" w:hAnsi="Times New Roman" w:cs="Times New Roman"/>
                <w:color w:val="auto"/>
              </w:rPr>
              <w:t>应对养护到期的飞灰固化体质量进行抽检；固化/稳定化配方试用或调整期间，至少应3天抽检一次，正常作业期间，至少应7天抽检一次；一次应取不少于3个样品，每个样品采用四分法进行采样，取不少于3个样进行质量测试；飞灰固化体质量不满足本标准第5.8.4条规定时不得外运，应重新处理；重新处理飞灰固化体质量亦应满足本标准第5.8.4条规定后方可外运。</w:t>
            </w:r>
          </w:p>
        </w:tc>
        <w:tc>
          <w:tcPr>
            <w:tcW w:w="3391" w:type="dxa"/>
            <w:vAlign w:val="center"/>
          </w:tcPr>
          <w:p w14:paraId="5974771B">
            <w:pPr>
              <w:pStyle w:val="23"/>
              <w:bidi w:val="0"/>
              <w:jc w:val="left"/>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飞灰处理前应进行浸出毒性检测，检测频率宜每周一次。</w:t>
            </w:r>
          </w:p>
          <w:p w14:paraId="3869175E">
            <w:pPr>
              <w:pStyle w:val="23"/>
              <w:bidi w:val="0"/>
              <w:jc w:val="left"/>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飞灰处理物含水率和浸出毒性检测应将每天处理的飞灰作为一个批次。</w:t>
            </w:r>
          </w:p>
          <w:p w14:paraId="05FC85B5">
            <w:pPr>
              <w:pStyle w:val="23"/>
              <w:bidi w:val="0"/>
              <w:jc w:val="left"/>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飞灰处理单位应定期委托检测单位对飞灰处理物中二噁英进行检测</w:t>
            </w:r>
            <w:r>
              <w:rPr>
                <w:rFonts w:hint="eastAsia" w:ascii="Times New Roman" w:hAnsi="Times New Roman" w:cs="Times New Roman"/>
                <w:color w:val="auto"/>
                <w:lang w:val="en-US" w:eastAsia="zh-CN"/>
              </w:rPr>
              <w:t>；</w:t>
            </w:r>
            <w:r>
              <w:rPr>
                <w:rFonts w:hint="eastAsia" w:ascii="Times New Roman" w:hAnsi="Times New Roman" w:eastAsia="宋体" w:cs="Times New Roman"/>
                <w:color w:val="auto"/>
                <w:lang w:val="en-US" w:eastAsia="zh-CN"/>
              </w:rPr>
              <w:t>每月应不定期对飞灰处理物进行抽样检测，并应留样备查。</w:t>
            </w:r>
          </w:p>
        </w:tc>
        <w:tc>
          <w:tcPr>
            <w:tcW w:w="4644" w:type="dxa"/>
            <w:tcBorders>
              <w:right w:val="single" w:color="000000" w:sz="2" w:space="0"/>
            </w:tcBorders>
            <w:vAlign w:val="center"/>
          </w:tcPr>
          <w:p w14:paraId="0D930687">
            <w:pPr>
              <w:pStyle w:val="23"/>
              <w:bidi w:val="0"/>
              <w:jc w:val="left"/>
              <w:rPr>
                <w:rFonts w:hint="default" w:ascii="Times New Roman" w:hAnsi="Times New Roman" w:cs="Times New Roman"/>
                <w:color w:val="auto"/>
                <w:lang w:eastAsia="en-US"/>
              </w:rPr>
            </w:pPr>
            <w:r>
              <w:rPr>
                <w:rFonts w:hint="default" w:ascii="Times New Roman" w:hAnsi="Times New Roman" w:cs="Times New Roman"/>
                <w:color w:val="auto"/>
                <w:lang w:val="en-US" w:eastAsia="zh-CN"/>
              </w:rPr>
              <w:t>本项目</w:t>
            </w:r>
            <w:r>
              <w:rPr>
                <w:rFonts w:hint="eastAsia" w:ascii="Times New Roman" w:hAnsi="Times New Roman" w:eastAsia="宋体" w:cs="Times New Roman"/>
                <w:color w:val="auto"/>
                <w:lang w:val="en-US" w:eastAsia="zh-CN"/>
              </w:rPr>
              <w:t>飞灰处理前应进行浸出毒性检测，检测频率宜每周一次。飞灰处理物含水率和浸出毒性检测将每天处理的飞灰作为一个批次，</w:t>
            </w:r>
            <w:r>
              <w:rPr>
                <w:rFonts w:hint="default" w:ascii="Times New Roman" w:hAnsi="Times New Roman" w:cs="Times New Roman"/>
                <w:color w:val="auto"/>
                <w:lang w:val="en-US" w:eastAsia="zh-CN"/>
              </w:rPr>
              <w:t>固废</w:t>
            </w:r>
            <w:r>
              <w:rPr>
                <w:rFonts w:hint="default" w:ascii="Times New Roman" w:hAnsi="Times New Roman" w:cs="Times New Roman"/>
                <w:color w:val="auto"/>
                <w:lang w:eastAsia="zh-CN"/>
              </w:rPr>
              <w:t>1</w:t>
            </w:r>
            <w:r>
              <w:rPr>
                <w:rFonts w:hint="default" w:ascii="Times New Roman" w:hAnsi="Times New Roman" w:cs="Times New Roman"/>
                <w:color w:val="auto"/>
                <w:lang w:val="en-US" w:eastAsia="zh-CN"/>
              </w:rPr>
              <w:t>0</w:t>
            </w:r>
            <w:r>
              <w:rPr>
                <w:rFonts w:hint="default" w:ascii="Times New Roman" w:hAnsi="Times New Roman" w:cs="Times New Roman"/>
                <w:color w:val="auto"/>
              </w:rPr>
              <w:t>天</w:t>
            </w:r>
            <w:r>
              <w:rPr>
                <w:rFonts w:hint="eastAsia" w:ascii="Times New Roman" w:hAnsi="Times New Roman" w:cs="Times New Roman"/>
                <w:color w:val="auto"/>
                <w:lang w:val="en-US" w:eastAsia="zh-CN"/>
              </w:rPr>
              <w:t>送</w:t>
            </w:r>
            <w:r>
              <w:rPr>
                <w:rFonts w:hint="default" w:ascii="Times New Roman" w:hAnsi="Times New Roman" w:cs="Times New Roman"/>
                <w:color w:val="auto"/>
              </w:rPr>
              <w:t>检一次</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二噁英1个季度</w:t>
            </w:r>
            <w:r>
              <w:rPr>
                <w:rFonts w:hint="eastAsia" w:ascii="Times New Roman" w:hAnsi="Times New Roman" w:cs="Times New Roman"/>
                <w:color w:val="auto"/>
                <w:lang w:val="en-US" w:eastAsia="zh-CN"/>
              </w:rPr>
              <w:t>抽检</w:t>
            </w:r>
            <w:r>
              <w:rPr>
                <w:rFonts w:hint="default" w:ascii="Times New Roman" w:hAnsi="Times New Roman" w:cs="Times New Roman"/>
                <w:color w:val="auto"/>
                <w:lang w:val="en-US" w:eastAsia="zh-CN"/>
              </w:rPr>
              <w:t>一次</w:t>
            </w:r>
            <w:r>
              <w:rPr>
                <w:rFonts w:hint="default" w:ascii="Times New Roman" w:hAnsi="Times New Roman" w:cs="Times New Roman"/>
                <w:color w:val="auto"/>
              </w:rPr>
              <w:t>；</w:t>
            </w:r>
            <w:r>
              <w:rPr>
                <w:rFonts w:hint="default" w:ascii="Times New Roman" w:hAnsi="Times New Roman" w:cs="Times New Roman"/>
                <w:color w:val="auto"/>
              </w:rPr>
              <w:t>飞灰固化体质量满足</w:t>
            </w:r>
            <w:r>
              <w:rPr>
                <w:rFonts w:hint="default" w:ascii="Times New Roman" w:hAnsi="Times New Roman" w:cs="Times New Roman"/>
                <w:color w:val="auto"/>
                <w:kern w:val="1"/>
                <w:highlight w:val="none"/>
                <w:u w:val="none"/>
              </w:rPr>
              <w:t>《生活垃圾填埋场污染控制标准》（</w:t>
            </w:r>
            <w:r>
              <w:rPr>
                <w:rFonts w:hint="default" w:ascii="Times New Roman" w:hAnsi="Times New Roman" w:cs="Times New Roman"/>
                <w:color w:val="auto"/>
                <w:kern w:val="1"/>
                <w:highlight w:val="none"/>
                <w:u w:val="none"/>
                <w:lang w:eastAsia="zh-CN"/>
              </w:rPr>
              <w:t>GB16889-2024</w:t>
            </w:r>
            <w:r>
              <w:rPr>
                <w:rFonts w:hint="default" w:ascii="Times New Roman" w:hAnsi="Times New Roman" w:cs="Times New Roman"/>
                <w:color w:val="auto"/>
                <w:kern w:val="1"/>
                <w:highlight w:val="none"/>
                <w:u w:val="none"/>
              </w:rPr>
              <w:t>）</w:t>
            </w:r>
            <w:r>
              <w:rPr>
                <w:rFonts w:hint="eastAsia" w:cs="Times New Roman"/>
                <w:color w:val="auto"/>
                <w:kern w:val="1"/>
                <w:highlight w:val="none"/>
                <w:u w:val="none"/>
                <w:lang w:val="en-US" w:eastAsia="zh-CN"/>
              </w:rPr>
              <w:t>中</w:t>
            </w:r>
            <w:r>
              <w:rPr>
                <w:rFonts w:hint="default" w:ascii="Times New Roman" w:hAnsi="Times New Roman" w:cs="Times New Roman"/>
                <w:color w:val="auto"/>
              </w:rPr>
              <w:t>规定后外运。</w:t>
            </w:r>
          </w:p>
        </w:tc>
        <w:tc>
          <w:tcPr>
            <w:tcW w:w="1824" w:type="dxa"/>
            <w:tcBorders>
              <w:left w:val="single" w:color="000000" w:sz="2" w:space="0"/>
              <w:right w:val="nil"/>
            </w:tcBorders>
            <w:vAlign w:val="center"/>
          </w:tcPr>
          <w:p w14:paraId="14C21795">
            <w:pPr>
              <w:pStyle w:val="23"/>
              <w:bidi w:val="0"/>
              <w:rPr>
                <w:rFonts w:hint="default" w:ascii="Times New Roman" w:hAnsi="Times New Roman" w:cs="Times New Roman"/>
                <w:color w:val="auto"/>
                <w:lang w:val="en-US" w:eastAsia="zh-CN"/>
              </w:rPr>
            </w:pPr>
            <w:r>
              <w:rPr>
                <w:rFonts w:hint="eastAsia" w:ascii="Times New Roman" w:hAnsi="Times New Roman" w:eastAsia="宋体" w:cs="Times New Roman"/>
                <w:color w:val="auto"/>
                <w:lang w:val="en-US" w:eastAsia="zh-CN"/>
              </w:rPr>
              <w:t>飞灰处理前拟进行浸出毒性检测，检测频率每周一次</w:t>
            </w:r>
            <w:r>
              <w:rPr>
                <w:rFonts w:hint="eastAsia" w:cs="Times New Roman"/>
                <w:color w:val="auto"/>
                <w:lang w:val="en-US" w:eastAsia="zh-CN"/>
              </w:rPr>
              <w:t>，已落实</w:t>
            </w:r>
          </w:p>
        </w:tc>
      </w:tr>
      <w:tr w14:paraId="49A0A54A">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23" w:type="dxa"/>
            <w:vMerge w:val="continue"/>
            <w:tcBorders>
              <w:left w:val="nil"/>
            </w:tcBorders>
            <w:vAlign w:val="center"/>
          </w:tcPr>
          <w:p w14:paraId="658BEB82">
            <w:pPr>
              <w:pStyle w:val="23"/>
              <w:bidi w:val="0"/>
              <w:rPr>
                <w:rFonts w:hint="default" w:ascii="Times New Roman" w:hAnsi="Times New Roman" w:cs="Times New Roman"/>
                <w:color w:val="auto"/>
              </w:rPr>
            </w:pPr>
          </w:p>
        </w:tc>
        <w:tc>
          <w:tcPr>
            <w:tcW w:w="3391" w:type="dxa"/>
            <w:vAlign w:val="center"/>
          </w:tcPr>
          <w:p w14:paraId="1E6FE79F">
            <w:pPr>
              <w:pStyle w:val="23"/>
              <w:bidi w:val="0"/>
              <w:jc w:val="left"/>
              <w:rPr>
                <w:rFonts w:hint="default" w:ascii="Times New Roman" w:hAnsi="Times New Roman" w:cs="Times New Roman"/>
                <w:color w:val="auto"/>
                <w:lang w:val="en-US" w:eastAsia="en-US"/>
              </w:rPr>
            </w:pPr>
            <w:r>
              <w:rPr>
                <w:rFonts w:hint="default" w:ascii="Times New Roman" w:hAnsi="Times New Roman" w:cs="Times New Roman"/>
                <w:color w:val="auto"/>
              </w:rPr>
              <w:t>合格的飞灰固化体，过渡期内运输至南平臻境环保有限责任公司固化飞灰填埋场进行处置，运输与处置工作由南平臻境环保有限责任公司承担；远期，待福清市应急飞灰填埋场建成后再接纳处置，或部分由拟建红庙岭新的飞灰填埋库区填埋，去向以生态环境主管部门允许的方式为准。</w:t>
            </w:r>
          </w:p>
        </w:tc>
        <w:tc>
          <w:tcPr>
            <w:tcW w:w="3391" w:type="dxa"/>
            <w:vAlign w:val="center"/>
          </w:tcPr>
          <w:p w14:paraId="6FD06FC9">
            <w:pPr>
              <w:pStyle w:val="23"/>
              <w:bidi w:val="0"/>
              <w:rPr>
                <w:rFonts w:hint="eastAsia" w:ascii="Times New Roman" w:hAnsi="Times New Roman" w:eastAsia="宋体" w:cs="Times New Roman"/>
                <w:color w:val="auto"/>
                <w:lang w:val="en-US" w:eastAsia="zh-CN"/>
              </w:rPr>
            </w:pPr>
            <w:r>
              <w:rPr>
                <w:rFonts w:hint="eastAsia" w:cs="Times New Roman"/>
                <w:color w:val="auto"/>
                <w:lang w:val="en-US" w:eastAsia="zh-CN"/>
              </w:rPr>
              <w:t>/</w:t>
            </w:r>
          </w:p>
        </w:tc>
        <w:tc>
          <w:tcPr>
            <w:tcW w:w="4644" w:type="dxa"/>
            <w:tcBorders>
              <w:right w:val="single" w:color="000000" w:sz="2" w:space="0"/>
            </w:tcBorders>
            <w:vAlign w:val="center"/>
          </w:tcPr>
          <w:p w14:paraId="598418C7">
            <w:pPr>
              <w:pStyle w:val="23"/>
              <w:bidi w:val="0"/>
              <w:jc w:val="left"/>
              <w:rPr>
                <w:rFonts w:hint="default" w:ascii="Times New Roman" w:hAnsi="Times New Roman" w:cs="Times New Roman"/>
                <w:color w:val="auto"/>
                <w:lang w:eastAsia="en-US"/>
              </w:rPr>
            </w:pPr>
            <w:r>
              <w:rPr>
                <w:rFonts w:hint="default" w:ascii="Times New Roman" w:hAnsi="Times New Roman" w:cs="Times New Roman"/>
                <w:color w:val="auto"/>
              </w:rPr>
              <w:t>合格的飞灰固化体，运输至福州市闽侯县建投再生能源有限公司固化飞灰填埋场进行处置。</w:t>
            </w:r>
          </w:p>
        </w:tc>
        <w:tc>
          <w:tcPr>
            <w:tcW w:w="1824" w:type="dxa"/>
            <w:tcBorders>
              <w:left w:val="single" w:color="000000" w:sz="2" w:space="0"/>
              <w:right w:val="nil"/>
            </w:tcBorders>
            <w:vAlign w:val="center"/>
          </w:tcPr>
          <w:p w14:paraId="04EB91DC">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固化飞灰填埋场及运输单位发生变化</w:t>
            </w:r>
          </w:p>
        </w:tc>
      </w:tr>
    </w:tbl>
    <w:p w14:paraId="359CECAA">
      <w:pPr>
        <w:pStyle w:val="21"/>
        <w:bidi w:val="0"/>
        <w:outlineLvl w:val="9"/>
        <w:rPr>
          <w:rFonts w:hint="default" w:ascii="Times New Roman" w:hAnsi="Times New Roman" w:cs="Times New Roman"/>
          <w:color w:val="auto"/>
        </w:rPr>
        <w:sectPr>
          <w:pgSz w:w="16839" w:h="11907" w:orient="landscape"/>
          <w:pgMar w:top="1701" w:right="1701" w:bottom="1417" w:left="1701" w:header="1078" w:footer="992" w:gutter="0"/>
          <w:pgNumType w:fmt="decimal"/>
          <w:cols w:space="720" w:num="1"/>
        </w:sectPr>
      </w:pPr>
    </w:p>
    <w:p w14:paraId="16C40375">
      <w:pPr>
        <w:pStyle w:val="2"/>
        <w:bidi w:val="0"/>
        <w:rPr>
          <w:rFonts w:hint="default" w:ascii="Times New Roman" w:hAnsi="Times New Roman" w:cs="Times New Roman"/>
          <w:color w:val="auto"/>
        </w:rPr>
      </w:pPr>
      <w:bookmarkStart w:id="40" w:name="_Toc12938"/>
      <w:r>
        <w:rPr>
          <w:rFonts w:hint="default" w:ascii="Times New Roman" w:hAnsi="Times New Roman" w:cs="Times New Roman"/>
          <w:color w:val="auto"/>
        </w:rPr>
        <w:t>5环境影响报告书（表）主要结论与建议及其审批部门审批决定</w:t>
      </w:r>
      <w:bookmarkEnd w:id="40"/>
    </w:p>
    <w:p w14:paraId="7692DB6D">
      <w:pPr>
        <w:pStyle w:val="3"/>
        <w:bidi w:val="0"/>
        <w:rPr>
          <w:rFonts w:hint="default" w:ascii="Times New Roman" w:hAnsi="Times New Roman" w:cs="Times New Roman"/>
          <w:color w:val="auto"/>
        </w:rPr>
      </w:pPr>
      <w:bookmarkStart w:id="41" w:name="_Toc646"/>
      <w:r>
        <w:rPr>
          <w:rFonts w:hint="default" w:ascii="Times New Roman" w:hAnsi="Times New Roman" w:cs="Times New Roman"/>
          <w:color w:val="auto"/>
        </w:rPr>
        <w:t>5.1环境影响报告书（表）主要结论与建议</w:t>
      </w:r>
      <w:bookmarkEnd w:id="41"/>
    </w:p>
    <w:p w14:paraId="50B68C82">
      <w:pPr>
        <w:pStyle w:val="4"/>
        <w:bidi w:val="0"/>
        <w:rPr>
          <w:rFonts w:hint="default" w:ascii="Times New Roman" w:hAnsi="Times New Roman" w:cs="Times New Roman"/>
          <w:color w:val="auto"/>
        </w:rPr>
      </w:pPr>
      <w:bookmarkStart w:id="42" w:name="_Toc8006"/>
      <w:r>
        <w:rPr>
          <w:rFonts w:hint="default" w:ascii="Times New Roman" w:hAnsi="Times New Roman" w:cs="Times New Roman"/>
          <w:color w:val="auto"/>
        </w:rPr>
        <w:t>5.1.1环境影响评价结论</w:t>
      </w:r>
      <w:bookmarkEnd w:id="42"/>
    </w:p>
    <w:p w14:paraId="4CA37235">
      <w:pPr>
        <w:spacing w:line="360" w:lineRule="auto"/>
        <w:ind w:firstLine="480"/>
        <w:rPr>
          <w:rFonts w:hint="default" w:ascii="Times New Roman" w:hAnsi="Times New Roman" w:eastAsia="宋体" w:cs="Times New Roman"/>
          <w:color w:val="auto"/>
          <w:highlight w:val="none"/>
        </w:rPr>
      </w:pPr>
      <w:r>
        <w:rPr>
          <w:rFonts w:hint="default" w:ascii="Times New Roman" w:hAnsi="Times New Roman" w:cs="Times New Roman"/>
          <w:color w:val="auto"/>
          <w:u w:val="none"/>
          <w:lang w:eastAsia="zh-CN"/>
        </w:rPr>
        <w:t>福州市红庙岭垃圾焚烧发电厂飞灰稳定化预处理扩建工程BOT项目（二期）</w:t>
      </w:r>
      <w:r>
        <w:rPr>
          <w:rFonts w:hint="default" w:ascii="Times New Roman" w:hAnsi="Times New Roman" w:cs="Times New Roman"/>
          <w:color w:val="auto"/>
          <w:u w:val="none"/>
        </w:rPr>
        <w:t>新增1条100t/d的飞灰固化生产线</w:t>
      </w:r>
      <w:r>
        <w:rPr>
          <w:rFonts w:hint="default" w:ascii="Times New Roman" w:hAnsi="Times New Roman" w:cs="Times New Roman"/>
          <w:color w:val="auto"/>
          <w:u w:val="none"/>
          <w:lang w:eastAsia="zh-CN"/>
        </w:rPr>
        <w:t>，</w:t>
      </w:r>
      <w:r>
        <w:rPr>
          <w:rFonts w:hint="default" w:ascii="Times New Roman" w:hAnsi="Times New Roman" w:cs="Times New Roman"/>
          <w:color w:val="auto"/>
          <w:u w:val="none"/>
          <w:lang w:val="en-US" w:eastAsia="zh-CN"/>
        </w:rPr>
        <w:t>并对2条50t/d备用生产线提升改造</w:t>
      </w:r>
      <w:r>
        <w:rPr>
          <w:rFonts w:hint="default" w:ascii="Times New Roman" w:hAnsi="Times New Roman" w:cs="Times New Roman"/>
          <w:color w:val="auto"/>
          <w:u w:val="none"/>
        </w:rPr>
        <w:t>，位于福州市晋安区红庙岭飞灰稳定化预处理项目现有已建的2#厂房</w:t>
      </w:r>
      <w:r>
        <w:rPr>
          <w:rFonts w:hint="default" w:ascii="Times New Roman" w:hAnsi="Times New Roman" w:cs="Times New Roman"/>
          <w:color w:val="auto"/>
          <w:highlight w:val="none"/>
          <w:u w:val="none"/>
        </w:rPr>
        <w:t>内。项目属于《产业结构调整指导目录（2024年本）》中鼓励类；在现有厂区内</w:t>
      </w:r>
      <w:r>
        <w:rPr>
          <w:rFonts w:hint="default" w:ascii="Times New Roman" w:hAnsi="Times New Roman" w:cs="Times New Roman"/>
          <w:color w:val="auto"/>
          <w:highlight w:val="none"/>
          <w:u w:val="none"/>
          <w:lang w:eastAsia="zh-CN"/>
        </w:rPr>
        <w:t>改扩建</w:t>
      </w:r>
      <w:r>
        <w:rPr>
          <w:rFonts w:hint="default" w:ascii="Times New Roman" w:hAnsi="Times New Roman" w:cs="Times New Roman"/>
          <w:color w:val="auto"/>
          <w:highlight w:val="none"/>
          <w:u w:val="none"/>
        </w:rPr>
        <w:t>，</w:t>
      </w:r>
      <w:r>
        <w:rPr>
          <w:rFonts w:hint="default" w:ascii="Times New Roman" w:hAnsi="Times New Roman" w:cs="Times New Roman"/>
          <w:color w:val="auto"/>
          <w:u w:val="none"/>
        </w:rPr>
        <w:t>选址符合福州市土地利用总体规划，产业布局、准入及建设规模符合《</w:t>
      </w:r>
      <w:r>
        <w:rPr>
          <w:rFonts w:hint="default" w:ascii="Times New Roman" w:hAnsi="Times New Roman" w:cs="Times New Roman"/>
          <w:bCs/>
          <w:color w:val="auto"/>
          <w:u w:val="none"/>
        </w:rPr>
        <w:t>红庙岭循环经济生态产业园规划</w:t>
      </w:r>
      <w:r>
        <w:rPr>
          <w:rFonts w:hint="default" w:ascii="Times New Roman" w:hAnsi="Times New Roman" w:cs="Times New Roman"/>
          <w:color w:val="auto"/>
          <w:u w:val="none"/>
        </w:rPr>
        <w:t>》、规划环评及审查小组意见要求；厂区总平面布局较合理，主要污染物在采取相应措施后，能做到稳定达标排放，环境风险可以得到有效控制，同时，在进一步落实地下水、土壤等防渗措施，加强环境管理的前提下，根据环境影响预测与评价结果，可以满足环境质量底线要求，本次</w:t>
      </w:r>
      <w:r>
        <w:rPr>
          <w:rFonts w:hint="default" w:ascii="Times New Roman" w:hAnsi="Times New Roman" w:cs="Times New Roman"/>
          <w:color w:val="auto"/>
          <w:u w:val="none"/>
          <w:lang w:eastAsia="zh-CN"/>
        </w:rPr>
        <w:t>改扩建</w:t>
      </w:r>
      <w:r>
        <w:rPr>
          <w:rFonts w:hint="default" w:ascii="Times New Roman" w:hAnsi="Times New Roman" w:cs="Times New Roman"/>
          <w:color w:val="auto"/>
          <w:u w:val="none"/>
        </w:rPr>
        <w:t>工程的建设是可行的。</w:t>
      </w:r>
    </w:p>
    <w:p w14:paraId="5A8B4D65">
      <w:pPr>
        <w:pStyle w:val="4"/>
        <w:bidi w:val="0"/>
        <w:rPr>
          <w:rFonts w:hint="default" w:ascii="Times New Roman" w:hAnsi="Times New Roman" w:cs="Times New Roman"/>
          <w:color w:val="auto"/>
        </w:rPr>
      </w:pPr>
      <w:bookmarkStart w:id="43" w:name="_Toc13343"/>
      <w:r>
        <w:rPr>
          <w:rFonts w:hint="default" w:ascii="Times New Roman" w:hAnsi="Times New Roman" w:cs="Times New Roman"/>
          <w:color w:val="auto"/>
        </w:rPr>
        <w:t>5.1.2建议</w:t>
      </w:r>
      <w:bookmarkEnd w:id="43"/>
    </w:p>
    <w:p w14:paraId="4228F882">
      <w:pPr>
        <w:bidi w:val="0"/>
        <w:rPr>
          <w:rFonts w:hint="default" w:ascii="Times New Roman" w:hAnsi="Times New Roman" w:cs="Times New Roman"/>
          <w:color w:val="auto"/>
        </w:rPr>
      </w:pPr>
      <w:r>
        <w:rPr>
          <w:rFonts w:hint="default" w:ascii="Times New Roman" w:hAnsi="Times New Roman" w:cs="Times New Roman"/>
          <w:color w:val="auto"/>
        </w:rPr>
        <w:t>（1）严格执行环保</w:t>
      </w:r>
      <w:r>
        <w:rPr>
          <w:rFonts w:hint="eastAsia" w:cs="Times New Roman"/>
          <w:color w:val="auto"/>
          <w:lang w:eastAsia="zh-CN"/>
        </w:rPr>
        <w:t>“</w:t>
      </w:r>
      <w:r>
        <w:rPr>
          <w:rFonts w:hint="default" w:ascii="Times New Roman" w:hAnsi="Times New Roman" w:cs="Times New Roman"/>
          <w:color w:val="auto"/>
        </w:rPr>
        <w:t>三同时</w:t>
      </w:r>
      <w:r>
        <w:rPr>
          <w:rFonts w:hint="eastAsia" w:cs="Times New Roman"/>
          <w:color w:val="auto"/>
          <w:lang w:eastAsia="zh-CN"/>
        </w:rPr>
        <w:t>”</w:t>
      </w:r>
      <w:r>
        <w:rPr>
          <w:rFonts w:hint="default" w:ascii="Times New Roman" w:hAnsi="Times New Roman" w:cs="Times New Roman"/>
          <w:color w:val="auto"/>
        </w:rPr>
        <w:t>制度，做到环保设施与主体工程同时设计、同时施工、同时投产使用。而且，环保设施必须通过验收后，项目方可正式投入生产。</w:t>
      </w:r>
    </w:p>
    <w:p w14:paraId="33231F37">
      <w:pPr>
        <w:bidi w:val="0"/>
        <w:rPr>
          <w:rFonts w:hint="default" w:ascii="Times New Roman" w:hAnsi="Times New Roman" w:cs="Times New Roman"/>
          <w:color w:val="auto"/>
        </w:rPr>
      </w:pPr>
      <w:r>
        <w:rPr>
          <w:rFonts w:hint="default" w:ascii="Times New Roman" w:hAnsi="Times New Roman" w:cs="Times New Roman"/>
          <w:color w:val="auto"/>
        </w:rPr>
        <w:t>（2）厂区排水必须采用雨污分流制，采取可靠的措施，防止雨水流进车间内部。</w:t>
      </w:r>
    </w:p>
    <w:p w14:paraId="6A265B7C">
      <w:pPr>
        <w:bidi w:val="0"/>
        <w:rPr>
          <w:rFonts w:hint="default" w:ascii="Times New Roman" w:hAnsi="Times New Roman" w:cs="Times New Roman"/>
          <w:color w:val="auto"/>
        </w:rPr>
      </w:pPr>
      <w:r>
        <w:rPr>
          <w:rFonts w:hint="default" w:ascii="Times New Roman" w:hAnsi="Times New Roman" w:cs="Times New Roman"/>
          <w:color w:val="auto"/>
        </w:rPr>
        <w:t>（3）加强贮存储仓、设备、输送管道、阀门等密封检查与维护，防止跑、冒、滴、漏，发现问题及时解决，保证设备完好。</w:t>
      </w:r>
    </w:p>
    <w:p w14:paraId="63BD15DA">
      <w:pPr>
        <w:bidi w:val="0"/>
        <w:rPr>
          <w:rFonts w:hint="default" w:ascii="Times New Roman" w:hAnsi="Times New Roman" w:cs="Times New Roman"/>
          <w:color w:val="auto"/>
        </w:rPr>
      </w:pPr>
      <w:r>
        <w:rPr>
          <w:rFonts w:hint="default" w:ascii="Times New Roman" w:hAnsi="Times New Roman" w:cs="Times New Roman"/>
          <w:color w:val="auto"/>
        </w:rPr>
        <w:t>（4）环保治理设施的运行情况要有专人负责管理，杜绝事故性污染。并树立风险防范意识，切实落实风险防范与安全管理措施。</w:t>
      </w:r>
    </w:p>
    <w:p w14:paraId="289EF674">
      <w:pPr>
        <w:bidi w:val="0"/>
        <w:rPr>
          <w:rFonts w:hint="default" w:ascii="Times New Roman" w:hAnsi="Times New Roman" w:cs="Times New Roman"/>
          <w:color w:val="auto"/>
        </w:rPr>
      </w:pPr>
      <w:r>
        <w:rPr>
          <w:rFonts w:hint="default" w:ascii="Times New Roman" w:hAnsi="Times New Roman" w:cs="Times New Roman"/>
          <w:color w:val="auto"/>
        </w:rPr>
        <w:t>（5）加强建设项目的环境管理和环境监测。设专职环境管理人员，按报告书的要求认真落实环境监测计划；各排污口的设置和管理应按报告书及国家有关规定执行。</w:t>
      </w:r>
    </w:p>
    <w:p w14:paraId="2769B989">
      <w:pPr>
        <w:bidi w:val="0"/>
        <w:rPr>
          <w:rFonts w:hint="default" w:ascii="Times New Roman" w:hAnsi="Times New Roman" w:cs="Times New Roman"/>
          <w:color w:val="auto"/>
        </w:rPr>
      </w:pPr>
      <w:r>
        <w:rPr>
          <w:rFonts w:hint="default" w:ascii="Times New Roman" w:hAnsi="Times New Roman" w:cs="Times New Roman"/>
          <w:color w:val="auto"/>
        </w:rPr>
        <w:t>（6）确保污染治理设施长期、稳定、有效地运行，不得故意不正常使用污染治理设施。</w:t>
      </w:r>
    </w:p>
    <w:p w14:paraId="555DE65E">
      <w:pPr>
        <w:bidi w:val="0"/>
        <w:rPr>
          <w:rFonts w:hint="default" w:ascii="Times New Roman" w:hAnsi="Times New Roman" w:cs="Times New Roman"/>
          <w:color w:val="auto"/>
        </w:rPr>
      </w:pPr>
      <w:r>
        <w:rPr>
          <w:rFonts w:hint="default" w:ascii="Times New Roman" w:hAnsi="Times New Roman" w:cs="Times New Roman"/>
          <w:color w:val="auto"/>
        </w:rPr>
        <w:t>（7）鉴于《生活垃圾焚烧飞灰固化稳定化处理技术标准》（征求意见稿）现处于征求意见稿阶段，本次评价建议参照执行。待正式发布执行后，建设单位应积极响应并严格按技术标准执行。</w:t>
      </w:r>
    </w:p>
    <w:p w14:paraId="560E939E">
      <w:pPr>
        <w:pStyle w:val="3"/>
        <w:bidi w:val="0"/>
        <w:rPr>
          <w:rFonts w:hint="default" w:ascii="Times New Roman" w:hAnsi="Times New Roman" w:cs="Times New Roman"/>
          <w:color w:val="auto"/>
        </w:rPr>
      </w:pPr>
      <w:bookmarkStart w:id="44" w:name="_Toc16571"/>
      <w:r>
        <w:rPr>
          <w:rFonts w:hint="default" w:ascii="Times New Roman" w:hAnsi="Times New Roman" w:cs="Times New Roman"/>
          <w:color w:val="auto"/>
        </w:rPr>
        <w:t>5.2审批部门审批决定</w:t>
      </w:r>
      <w:bookmarkEnd w:id="44"/>
    </w:p>
    <w:p w14:paraId="5F22266D">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w:t>
      </w:r>
      <w:r>
        <w:rPr>
          <w:rFonts w:hint="default" w:ascii="Times New Roman" w:hAnsi="Times New Roman" w:cs="Times New Roman"/>
          <w:color w:val="auto"/>
        </w:rPr>
        <w:t>福州市红庙岭垃圾焚烧发电厂飞灰稳定化预处理扩建工程BOT项目</w:t>
      </w:r>
      <w:r>
        <w:rPr>
          <w:rFonts w:hint="default" w:ascii="Times New Roman" w:hAnsi="Times New Roman" w:cs="Times New Roman"/>
          <w:color w:val="auto"/>
          <w:lang w:eastAsia="zh-CN"/>
        </w:rPr>
        <w:t>（二期）</w:t>
      </w:r>
      <w:r>
        <w:rPr>
          <w:rFonts w:hint="default" w:ascii="Times New Roman" w:hAnsi="Times New Roman" w:cs="Times New Roman"/>
          <w:color w:val="auto"/>
        </w:rPr>
        <w:t>位于福州市晋安区</w:t>
      </w:r>
      <w:r>
        <w:rPr>
          <w:rFonts w:hint="default" w:ascii="Times New Roman" w:hAnsi="Times New Roman" w:cs="Times New Roman"/>
          <w:color w:val="auto"/>
          <w:lang w:val="en-US" w:eastAsia="zh-CN"/>
        </w:rPr>
        <w:t>岭头村福州市红庙岭循环经济产业园</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该项目新增1条处理能力为100t/d的飞灰稳定化预处理生产线和对现有2条处理能力50t/d备用生产线进行升级改造，并完善相应配套设施建设。项目建成投产后全厂飞灰处理规模为200t/d，以及2条处理能力50t/d备用生产线。</w:t>
      </w:r>
    </w:p>
    <w:p w14:paraId="1F86F049">
      <w:pPr>
        <w:bidi w:val="0"/>
        <w:rPr>
          <w:rFonts w:hint="default" w:ascii="Times New Roman" w:hAnsi="Times New Roman" w:cs="Times New Roman"/>
          <w:color w:val="auto"/>
        </w:rPr>
      </w:pPr>
      <w:r>
        <w:rPr>
          <w:rFonts w:hint="default" w:ascii="Times New Roman" w:hAnsi="Times New Roman" w:cs="Times New Roman"/>
          <w:color w:val="auto"/>
          <w:lang w:val="en-US" w:eastAsia="zh-CN"/>
        </w:rPr>
        <w:t>根据《报告书》评价结论和福州市环境影响评价技术中心报告（编号：2-2022-006），该项目符合国家产业政策要求，符合《福建省</w:t>
      </w:r>
      <w:r>
        <w:rPr>
          <w:rFonts w:hint="eastAsia" w:cs="Times New Roman"/>
          <w:color w:val="auto"/>
          <w:lang w:val="en-US" w:eastAsia="zh-CN"/>
        </w:rPr>
        <w:t>“</w:t>
      </w:r>
      <w:r>
        <w:rPr>
          <w:rFonts w:hint="default" w:ascii="Times New Roman" w:hAnsi="Times New Roman" w:cs="Times New Roman"/>
          <w:color w:val="auto"/>
          <w:lang w:val="en-US" w:eastAsia="zh-CN"/>
        </w:rPr>
        <w:t>十四五</w:t>
      </w:r>
      <w:r>
        <w:rPr>
          <w:rFonts w:hint="eastAsia" w:cs="Times New Roman"/>
          <w:color w:val="auto"/>
          <w:lang w:val="en-US" w:eastAsia="zh-CN"/>
        </w:rPr>
        <w:t>”</w:t>
      </w:r>
      <w:r>
        <w:rPr>
          <w:rFonts w:hint="default" w:ascii="Times New Roman" w:hAnsi="Times New Roman" w:cs="Times New Roman"/>
          <w:color w:val="auto"/>
          <w:lang w:val="en-US" w:eastAsia="zh-CN"/>
        </w:rPr>
        <w:t>危险废物污染防治规划》《福州市</w:t>
      </w:r>
      <w:r>
        <w:rPr>
          <w:rFonts w:hint="eastAsia" w:cs="Times New Roman"/>
          <w:color w:val="auto"/>
          <w:lang w:val="en-US" w:eastAsia="zh-CN"/>
        </w:rPr>
        <w:t>“</w:t>
      </w:r>
      <w:r>
        <w:rPr>
          <w:rFonts w:hint="default" w:ascii="Times New Roman" w:hAnsi="Times New Roman" w:cs="Times New Roman"/>
          <w:color w:val="auto"/>
          <w:lang w:val="en-US" w:eastAsia="zh-CN"/>
        </w:rPr>
        <w:t>三线一单</w:t>
      </w:r>
      <w:r>
        <w:rPr>
          <w:rFonts w:hint="eastAsia" w:cs="Times New Roman"/>
          <w:color w:val="auto"/>
          <w:lang w:val="en-US" w:eastAsia="zh-CN"/>
        </w:rPr>
        <w:t>”</w:t>
      </w:r>
      <w:r>
        <w:rPr>
          <w:rFonts w:hint="default" w:ascii="Times New Roman" w:hAnsi="Times New Roman" w:cs="Times New Roman"/>
          <w:color w:val="auto"/>
          <w:lang w:val="en-US" w:eastAsia="zh-CN"/>
        </w:rPr>
        <w:t>生态分区管控方案》《福州市红庙岭循环经济产业园专项规划（修编）》及规划环评要求。严格执行环保</w:t>
      </w:r>
      <w:r>
        <w:rPr>
          <w:rFonts w:hint="eastAsia" w:cs="Times New Roman"/>
          <w:color w:val="auto"/>
          <w:lang w:val="en-US" w:eastAsia="zh-CN"/>
        </w:rPr>
        <w:t>“</w:t>
      </w:r>
      <w:r>
        <w:rPr>
          <w:rFonts w:hint="default" w:ascii="Times New Roman" w:hAnsi="Times New Roman" w:cs="Times New Roman"/>
          <w:color w:val="auto"/>
          <w:lang w:val="en-US" w:eastAsia="zh-CN"/>
        </w:rPr>
        <w:t>三同时</w:t>
      </w:r>
      <w:r>
        <w:rPr>
          <w:rFonts w:hint="eastAsia" w:cs="Times New Roman"/>
          <w:color w:val="auto"/>
          <w:lang w:val="en-US" w:eastAsia="zh-CN"/>
        </w:rPr>
        <w:t>”</w:t>
      </w:r>
      <w:r>
        <w:rPr>
          <w:rFonts w:hint="default" w:ascii="Times New Roman" w:hAnsi="Times New Roman" w:cs="Times New Roman"/>
          <w:color w:val="auto"/>
          <w:lang w:val="en-US" w:eastAsia="zh-CN"/>
        </w:rPr>
        <w:t>制度，认真落实《报告书》提出的各项环境保护措施和风险防范措施，加强环境管理的前提下，从环境影响角度分析，项目建设可行。我局同意按照《报告书》中所列建设项目的地点、性质、规模和环境保护措施进行项目建设</w:t>
      </w:r>
      <w:r>
        <w:rPr>
          <w:rFonts w:hint="default" w:ascii="Times New Roman" w:hAnsi="Times New Roman" w:cs="Times New Roman"/>
          <w:color w:val="auto"/>
          <w:lang w:eastAsia="zh-CN"/>
        </w:rPr>
        <w:t>。</w:t>
      </w:r>
    </w:p>
    <w:p w14:paraId="61CADBEC">
      <w:pPr>
        <w:bidi w:val="0"/>
        <w:rPr>
          <w:rFonts w:hint="default" w:ascii="Times New Roman" w:hAnsi="Times New Roman" w:eastAsia="宋体" w:cs="Times New Roman"/>
          <w:color w:val="auto"/>
          <w:lang w:eastAsia="zh-CN"/>
        </w:rPr>
      </w:pPr>
      <w:r>
        <w:rPr>
          <w:rFonts w:hint="default" w:ascii="Times New Roman" w:hAnsi="Times New Roman" w:cs="Times New Roman"/>
          <w:color w:val="auto"/>
        </w:rPr>
        <w:t>二、项目在设计、施工和日常运营管理过程中应认真落实《报告书》提出的各项环境保护措施和风险防范措施，确保各项污染物达标排放，并重点做好以下工作</w:t>
      </w:r>
      <w:r>
        <w:rPr>
          <w:rFonts w:hint="default" w:ascii="Times New Roman" w:hAnsi="Times New Roman" w:cs="Times New Roman"/>
          <w:color w:val="auto"/>
          <w:lang w:eastAsia="zh-CN"/>
        </w:rPr>
        <w:t>：</w:t>
      </w:r>
    </w:p>
    <w:p w14:paraId="4DFECEB8">
      <w:pPr>
        <w:bidi w:val="0"/>
        <w:rPr>
          <w:rFonts w:hint="default" w:ascii="Times New Roman" w:hAnsi="Times New Roman" w:cs="Times New Roman"/>
          <w:color w:val="auto"/>
        </w:rPr>
      </w:pPr>
      <w:r>
        <w:rPr>
          <w:rFonts w:hint="default" w:ascii="Times New Roman" w:hAnsi="Times New Roman" w:cs="Times New Roman"/>
          <w:color w:val="auto"/>
        </w:rPr>
        <w:t>1、大气污染防治。严格控制无组织排放，飞灰的贮存设施及输送、处理设备和生产厂房均应采取密闭措施。贮存和破碎过程中产生的粉尘经袋式除尘器除尘后通过现有工程已建的25m高排气筒排放。扩建投产后厂区的大气环境防护距离为800m，在此范围内不得有居民住宅等环境敏感目标，不得种植水稻、蔬菜、茶树、果树等供食用的农作物和经济作物。</w:t>
      </w:r>
    </w:p>
    <w:p w14:paraId="159151AC">
      <w:pPr>
        <w:bidi w:val="0"/>
        <w:rPr>
          <w:rFonts w:hint="default" w:ascii="Times New Roman" w:hAnsi="Times New Roman" w:eastAsia="宋体" w:cs="Times New Roman"/>
          <w:color w:val="auto"/>
          <w:lang w:eastAsia="zh-CN"/>
        </w:rPr>
      </w:pPr>
      <w:r>
        <w:rPr>
          <w:rFonts w:hint="default" w:ascii="Times New Roman" w:hAnsi="Times New Roman" w:cs="Times New Roman"/>
          <w:color w:val="auto"/>
        </w:rPr>
        <w:t>2、水污染防治。车间冲洗水和运输车辆冲洗水经厂区内生产废水回用收集槽收集和回用池静置沉淀后回用于生产，不外排。生活污水经化粪池处理后通过市政污水管网纳入福州市洋里污水处理厂进一步处理。新建容积不少于230</w:t>
      </w:r>
      <w:r>
        <w:rPr>
          <w:rFonts w:hint="default" w:ascii="Times New Roman" w:hAnsi="Times New Roman" w:cs="Times New Roman"/>
          <w:color w:val="auto"/>
          <w:lang w:val="en-US" w:eastAsia="zh-CN"/>
        </w:rPr>
        <w:t>m³</w:t>
      </w:r>
      <w:r>
        <w:rPr>
          <w:rFonts w:hint="default" w:ascii="Times New Roman" w:hAnsi="Times New Roman" w:cs="Times New Roman"/>
          <w:color w:val="auto"/>
        </w:rPr>
        <w:t>的初期雨水收集池，收集的初期雨水经沉淀后回用于生产，不外排</w:t>
      </w:r>
      <w:r>
        <w:rPr>
          <w:rFonts w:hint="default" w:ascii="Times New Roman" w:hAnsi="Times New Roman" w:cs="Times New Roman"/>
          <w:color w:val="auto"/>
          <w:lang w:eastAsia="zh-CN"/>
        </w:rPr>
        <w:t>。</w:t>
      </w:r>
    </w:p>
    <w:p w14:paraId="7F982CCF">
      <w:pPr>
        <w:bidi w:val="0"/>
        <w:rPr>
          <w:rFonts w:hint="default" w:ascii="Times New Roman" w:hAnsi="Times New Roman" w:cs="Times New Roman"/>
          <w:color w:val="auto"/>
        </w:rPr>
      </w:pPr>
      <w:r>
        <w:rPr>
          <w:rFonts w:hint="default" w:ascii="Times New Roman" w:hAnsi="Times New Roman" w:cs="Times New Roman"/>
          <w:color w:val="auto"/>
        </w:rPr>
        <w:t>3、噪声污染防治。优先选用低噪声设备，高噪声设备采取减振、隔声、消声等综合降噪措施，确保厂界噪声排放达标。</w:t>
      </w:r>
    </w:p>
    <w:p w14:paraId="157E3AEC">
      <w:pPr>
        <w:bidi w:val="0"/>
        <w:rPr>
          <w:rFonts w:hint="default" w:ascii="Times New Roman" w:hAnsi="Times New Roman" w:eastAsia="宋体" w:cs="Times New Roman"/>
          <w:color w:val="auto"/>
          <w:lang w:eastAsia="zh-CN"/>
        </w:rPr>
      </w:pPr>
      <w:r>
        <w:rPr>
          <w:rFonts w:hint="default" w:ascii="Times New Roman" w:hAnsi="Times New Roman" w:cs="Times New Roman"/>
          <w:color w:val="auto"/>
        </w:rPr>
        <w:t>4、固体废物污染防治。遵循减量化、资源化和无害化的原则，采用先进的清洁生产工艺，减少固体废物产生量，并按规范建设危险废物暂存场所及一般工业固体废物暂存场所。破损滤袋和废油桶收集后委托有资质单位处理，布袋除尘器收集的粉尘回用到生产工艺中，回用池沉淀渣和不合格的飞灰固化物经破碎后回到生产工艺中，生活垃圾由环卫部门统一收集处理</w:t>
      </w:r>
      <w:r>
        <w:rPr>
          <w:rFonts w:hint="default" w:ascii="Times New Roman" w:hAnsi="Times New Roman" w:cs="Times New Roman"/>
          <w:color w:val="auto"/>
          <w:lang w:eastAsia="zh-CN"/>
        </w:rPr>
        <w:t>。</w:t>
      </w:r>
    </w:p>
    <w:p w14:paraId="1B1E36E0">
      <w:pPr>
        <w:bidi w:val="0"/>
        <w:rPr>
          <w:rFonts w:hint="default" w:ascii="Times New Roman" w:hAnsi="Times New Roman" w:eastAsia="宋体" w:cs="Times New Roman"/>
          <w:color w:val="auto"/>
          <w:lang w:eastAsia="zh-CN"/>
        </w:rPr>
      </w:pPr>
      <w:r>
        <w:rPr>
          <w:rFonts w:hint="default" w:ascii="Times New Roman" w:hAnsi="Times New Roman" w:cs="Times New Roman"/>
          <w:color w:val="auto"/>
        </w:rPr>
        <w:t>5、地下水和土壤污染防治。加强生产设施的运行管理，尽量减少跑冒滴漏的产生。做好厂区分区防控措施，合理设置地下水和土壤跟踪监测点，严格落实土壤和地下水监测计划</w:t>
      </w:r>
      <w:r>
        <w:rPr>
          <w:rFonts w:hint="default" w:ascii="Times New Roman" w:hAnsi="Times New Roman" w:cs="Times New Roman"/>
          <w:color w:val="auto"/>
          <w:lang w:eastAsia="zh-CN"/>
        </w:rPr>
        <w:t>。</w:t>
      </w:r>
    </w:p>
    <w:p w14:paraId="52BFBEB2">
      <w:pPr>
        <w:bidi w:val="0"/>
        <w:rPr>
          <w:rFonts w:hint="default" w:ascii="Times New Roman" w:hAnsi="Times New Roman" w:eastAsia="宋体" w:cs="Times New Roman"/>
          <w:color w:val="auto"/>
          <w:lang w:eastAsia="zh-CN"/>
        </w:rPr>
      </w:pPr>
      <w:r>
        <w:rPr>
          <w:rFonts w:hint="default" w:ascii="Times New Roman" w:hAnsi="Times New Roman" w:cs="Times New Roman"/>
          <w:color w:val="auto"/>
        </w:rPr>
        <w:t>6、环境风险防范。严格落实《报告书》提出的各项环境风险防范措施，新建1个容积不小于277</w:t>
      </w:r>
      <w:r>
        <w:rPr>
          <w:rFonts w:hint="default" w:ascii="Times New Roman" w:hAnsi="Times New Roman" w:cs="Times New Roman"/>
          <w:color w:val="auto"/>
          <w:lang w:val="en-US" w:eastAsia="zh-CN"/>
        </w:rPr>
        <w:t>m³</w:t>
      </w:r>
      <w:r>
        <w:rPr>
          <w:rFonts w:hint="default" w:ascii="Times New Roman" w:hAnsi="Times New Roman" w:cs="Times New Roman"/>
          <w:color w:val="auto"/>
        </w:rPr>
        <w:t>的事故应急池，配备事故废水收集管网和应急切换阀，确保事故废水不外排。及时修订突发环境事件应急预案，定期开展事故环境风险应急演练并与园区及地方政府建立应急联动机制，确保周边环境安全</w:t>
      </w:r>
      <w:r>
        <w:rPr>
          <w:rFonts w:hint="default" w:ascii="Times New Roman" w:hAnsi="Times New Roman" w:cs="Times New Roman"/>
          <w:color w:val="auto"/>
          <w:lang w:eastAsia="zh-CN"/>
        </w:rPr>
        <w:t>。</w:t>
      </w:r>
    </w:p>
    <w:p w14:paraId="414B6D12">
      <w:pPr>
        <w:bidi w:val="0"/>
        <w:rPr>
          <w:rFonts w:hint="default" w:ascii="Times New Roman" w:hAnsi="Times New Roman" w:eastAsia="宋体" w:cs="Times New Roman"/>
          <w:color w:val="auto"/>
          <w:lang w:eastAsia="zh-CN"/>
        </w:rPr>
      </w:pPr>
      <w:r>
        <w:rPr>
          <w:rFonts w:hint="default" w:ascii="Times New Roman" w:hAnsi="Times New Roman" w:cs="Times New Roman"/>
          <w:color w:val="auto"/>
        </w:rPr>
        <w:t>7、环境管理。加强环境管理能力建设，完善环境管理制度加强施工期环境保护管理，控制施工期扬尘、污水、噪声等对周边环境的影响。主动发布企业环境保护信息，自觉接受社会监督。按照国家有关规定和监测规范，制定并严格落实施工期和运营期监测计划，并按规定向社会公开</w:t>
      </w:r>
      <w:r>
        <w:rPr>
          <w:rFonts w:hint="default" w:ascii="Times New Roman" w:hAnsi="Times New Roman" w:cs="Times New Roman"/>
          <w:color w:val="auto"/>
          <w:lang w:eastAsia="zh-CN"/>
        </w:rPr>
        <w:t>。</w:t>
      </w:r>
    </w:p>
    <w:p w14:paraId="4B7080DD">
      <w:pPr>
        <w:bidi w:val="0"/>
        <w:rPr>
          <w:rFonts w:hint="default" w:ascii="Times New Roman" w:hAnsi="Times New Roman" w:cs="Times New Roman"/>
          <w:color w:val="auto"/>
        </w:rPr>
        <w:sectPr>
          <w:headerReference r:id="rId14" w:type="default"/>
          <w:footerReference r:id="rId15" w:type="default"/>
          <w:pgSz w:w="11912" w:h="16841"/>
          <w:pgMar w:top="1701" w:right="1417" w:bottom="1701" w:left="1701" w:header="1078" w:footer="991" w:gutter="0"/>
          <w:pgNumType w:fmt="decimal"/>
          <w:cols w:space="720" w:num="1"/>
        </w:sectPr>
      </w:pPr>
    </w:p>
    <w:p w14:paraId="00E814AF">
      <w:pPr>
        <w:pStyle w:val="21"/>
        <w:bidi w:val="0"/>
        <w:rPr>
          <w:rFonts w:hint="default" w:ascii="Times New Roman" w:hAnsi="Times New Roman" w:cs="Times New Roman"/>
          <w:color w:val="auto"/>
        </w:rPr>
      </w:pPr>
      <w:r>
        <w:rPr>
          <w:rFonts w:hint="default" w:ascii="Times New Roman" w:hAnsi="Times New Roman" w:cs="Times New Roman"/>
          <w:color w:val="auto"/>
          <w:lang w:val="en-US" w:eastAsia="zh-CN"/>
        </w:rPr>
        <w:t>表5.2-1 环评批复文件要求落实情况对照表</w:t>
      </w:r>
    </w:p>
    <w:tbl>
      <w:tblPr>
        <w:tblStyle w:val="15"/>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6275"/>
        <w:gridCol w:w="4634"/>
        <w:gridCol w:w="2032"/>
      </w:tblGrid>
      <w:tr w14:paraId="179BC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14:paraId="35E7BABE">
            <w:pPr>
              <w:pStyle w:val="23"/>
              <w:widowControl w:val="0"/>
              <w:bidi w:val="0"/>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序号</w:t>
            </w:r>
          </w:p>
        </w:tc>
        <w:tc>
          <w:tcPr>
            <w:tcW w:w="6275" w:type="dxa"/>
            <w:vAlign w:val="center"/>
          </w:tcPr>
          <w:p w14:paraId="657B7444">
            <w:pPr>
              <w:pStyle w:val="23"/>
              <w:widowControl w:val="0"/>
              <w:bidi w:val="0"/>
              <w:jc w:val="center"/>
              <w:rPr>
                <w:rFonts w:hint="default" w:ascii="Times New Roman" w:hAnsi="Times New Roman" w:cs="Times New Roman"/>
                <w:b/>
                <w:bCs/>
                <w:color w:val="auto"/>
              </w:rPr>
            </w:pPr>
            <w:r>
              <w:rPr>
                <w:rFonts w:hint="eastAsia" w:cs="Times New Roman"/>
                <w:b/>
                <w:bCs/>
                <w:color w:val="auto"/>
                <w:lang w:val="en-US" w:eastAsia="zh-CN"/>
              </w:rPr>
              <w:t>“</w:t>
            </w:r>
            <w:r>
              <w:rPr>
                <w:rFonts w:hint="default" w:ascii="Times New Roman" w:hAnsi="Times New Roman" w:cs="Times New Roman"/>
                <w:b/>
                <w:bCs/>
                <w:color w:val="auto"/>
                <w:lang w:val="en-US" w:eastAsia="zh-CN"/>
              </w:rPr>
              <w:t>环评批复</w:t>
            </w:r>
            <w:r>
              <w:rPr>
                <w:rFonts w:hint="eastAsia" w:cs="Times New Roman"/>
                <w:b/>
                <w:bCs/>
                <w:color w:val="auto"/>
                <w:lang w:val="en-US" w:eastAsia="zh-CN"/>
              </w:rPr>
              <w:t>”</w:t>
            </w:r>
            <w:r>
              <w:rPr>
                <w:rFonts w:hint="default" w:ascii="Times New Roman" w:hAnsi="Times New Roman" w:cs="Times New Roman"/>
                <w:b/>
                <w:bCs/>
                <w:color w:val="auto"/>
                <w:lang w:val="en-US" w:eastAsia="zh-CN"/>
              </w:rPr>
              <w:t>主要内容</w:t>
            </w:r>
          </w:p>
        </w:tc>
        <w:tc>
          <w:tcPr>
            <w:tcW w:w="4634" w:type="dxa"/>
            <w:vAlign w:val="center"/>
          </w:tcPr>
          <w:p w14:paraId="2BFE9ECE">
            <w:pPr>
              <w:pStyle w:val="23"/>
              <w:widowControl w:val="0"/>
              <w:bidi w:val="0"/>
              <w:jc w:val="center"/>
              <w:rPr>
                <w:rFonts w:hint="default" w:ascii="Times New Roman" w:hAnsi="Times New Roman" w:cs="Times New Roman"/>
                <w:b/>
                <w:bCs/>
                <w:color w:val="auto"/>
              </w:rPr>
            </w:pPr>
            <w:r>
              <w:rPr>
                <w:rFonts w:hint="default" w:ascii="Times New Roman" w:hAnsi="Times New Roman" w:cs="Times New Roman"/>
                <w:b/>
                <w:bCs/>
                <w:color w:val="auto"/>
                <w:lang w:val="en-US" w:eastAsia="zh-CN"/>
              </w:rPr>
              <w:t>本次验收情况</w:t>
            </w:r>
          </w:p>
        </w:tc>
        <w:tc>
          <w:tcPr>
            <w:tcW w:w="2032" w:type="dxa"/>
            <w:vAlign w:val="center"/>
          </w:tcPr>
          <w:p w14:paraId="0061FA34">
            <w:pPr>
              <w:pStyle w:val="23"/>
              <w:widowControl w:val="0"/>
              <w:bidi w:val="0"/>
              <w:jc w:val="center"/>
              <w:rPr>
                <w:rFonts w:hint="default" w:ascii="Times New Roman" w:hAnsi="Times New Roman" w:cs="Times New Roman"/>
                <w:b/>
                <w:bCs/>
                <w:color w:val="auto"/>
              </w:rPr>
            </w:pPr>
            <w:r>
              <w:rPr>
                <w:rFonts w:hint="default" w:ascii="Times New Roman" w:hAnsi="Times New Roman" w:cs="Times New Roman"/>
                <w:b/>
                <w:bCs/>
                <w:color w:val="auto"/>
                <w:lang w:val="en-US" w:eastAsia="zh-CN"/>
              </w:rPr>
              <w:t>落实情况</w:t>
            </w:r>
          </w:p>
        </w:tc>
      </w:tr>
      <w:tr w14:paraId="0AFD55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14:paraId="255B660E">
            <w:pPr>
              <w:pStyle w:val="23"/>
              <w:widowControl w:val="0"/>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w:t>
            </w:r>
          </w:p>
        </w:tc>
        <w:tc>
          <w:tcPr>
            <w:tcW w:w="6275" w:type="dxa"/>
            <w:vAlign w:val="center"/>
          </w:tcPr>
          <w:p w14:paraId="35873E51">
            <w:pPr>
              <w:pStyle w:val="23"/>
              <w:widowControl w:val="0"/>
              <w:bidi w:val="0"/>
              <w:jc w:val="left"/>
              <w:rPr>
                <w:rFonts w:hint="default" w:ascii="Times New Roman" w:hAnsi="Times New Roman" w:cs="Times New Roman"/>
                <w:color w:val="auto"/>
              </w:rPr>
            </w:pPr>
            <w:r>
              <w:rPr>
                <w:rFonts w:hint="default" w:ascii="Times New Roman" w:hAnsi="Times New Roman" w:cs="Times New Roman"/>
                <w:color w:val="auto"/>
              </w:rPr>
              <w:t>严格控制无组织排放，飞灰的贮存设施及输送、处理设备和生产厂房均应采取密闭措施。贮存和破碎过程中产生的粉尘经袋式除尘器除尘后通过现有工程已建的25m高排气筒排放。扩建投产后厂区的大气环境防护距离为800m，在此范围内不得有居民住宅等环境敏感目标，不得种植水稻、蔬菜、茶树、果树等供食用的农作物和经济作物。</w:t>
            </w:r>
          </w:p>
        </w:tc>
        <w:tc>
          <w:tcPr>
            <w:tcW w:w="4634" w:type="dxa"/>
            <w:vAlign w:val="center"/>
          </w:tcPr>
          <w:p w14:paraId="3C4CFC68">
            <w:pPr>
              <w:pStyle w:val="23"/>
              <w:widowControl w:val="0"/>
              <w:bidi w:val="0"/>
              <w:jc w:val="left"/>
              <w:rPr>
                <w:rFonts w:hint="default" w:ascii="Times New Roman" w:hAnsi="Times New Roman" w:eastAsia="宋体" w:cs="Times New Roman"/>
                <w:color w:val="auto"/>
                <w:lang w:val="en-US" w:eastAsia="zh-CN"/>
              </w:rPr>
            </w:pPr>
            <w:r>
              <w:rPr>
                <w:rFonts w:hint="default" w:ascii="Times New Roman" w:hAnsi="Times New Roman" w:cs="Times New Roman"/>
                <w:color w:val="auto"/>
              </w:rPr>
              <w:t>飞灰的贮存设施及输送、处理设备和生产厂房均应采取密闭措施。贮存和破碎过程中产生的粉尘经袋式除尘器除尘后通过现有工程已建的25m高排气筒排放。</w:t>
            </w:r>
            <w:r>
              <w:rPr>
                <w:rFonts w:hint="default" w:ascii="Times New Roman" w:hAnsi="Times New Roman" w:cs="Times New Roman"/>
                <w:color w:val="auto"/>
                <w:lang w:val="en-US" w:eastAsia="zh-CN"/>
              </w:rPr>
              <w:t>厂区800m大气防护距离范围内无</w:t>
            </w:r>
            <w:r>
              <w:rPr>
                <w:rFonts w:hint="default" w:ascii="Times New Roman" w:hAnsi="Times New Roman" w:cs="Times New Roman"/>
                <w:color w:val="auto"/>
              </w:rPr>
              <w:t>居民住宅等环境敏感目标，</w:t>
            </w:r>
            <w:r>
              <w:rPr>
                <w:rFonts w:hint="default" w:ascii="Times New Roman" w:hAnsi="Times New Roman" w:cs="Times New Roman"/>
                <w:color w:val="auto"/>
                <w:lang w:val="en-US" w:eastAsia="zh-CN"/>
              </w:rPr>
              <w:t>且无</w:t>
            </w:r>
            <w:r>
              <w:rPr>
                <w:rFonts w:hint="default" w:ascii="Times New Roman" w:hAnsi="Times New Roman" w:cs="Times New Roman"/>
                <w:color w:val="auto"/>
              </w:rPr>
              <w:t>种植水稻、蔬菜、茶树、果树等供食用的农作物和经济作物。</w:t>
            </w:r>
          </w:p>
        </w:tc>
        <w:tc>
          <w:tcPr>
            <w:tcW w:w="2032" w:type="dxa"/>
            <w:vAlign w:val="center"/>
          </w:tcPr>
          <w:p w14:paraId="55D67476">
            <w:pPr>
              <w:pStyle w:val="23"/>
              <w:widowControl w:val="0"/>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已落实</w:t>
            </w:r>
          </w:p>
        </w:tc>
      </w:tr>
      <w:tr w14:paraId="290B22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14:paraId="7FB20701">
            <w:pPr>
              <w:pStyle w:val="23"/>
              <w:widowControl w:val="0"/>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w:t>
            </w:r>
          </w:p>
        </w:tc>
        <w:tc>
          <w:tcPr>
            <w:tcW w:w="6275" w:type="dxa"/>
            <w:vAlign w:val="center"/>
          </w:tcPr>
          <w:p w14:paraId="2C933500">
            <w:pPr>
              <w:pStyle w:val="23"/>
              <w:widowControl w:val="0"/>
              <w:bidi w:val="0"/>
              <w:jc w:val="left"/>
              <w:rPr>
                <w:rFonts w:hint="default" w:ascii="Times New Roman" w:hAnsi="Times New Roman" w:cs="Times New Roman"/>
                <w:color w:val="auto"/>
              </w:rPr>
            </w:pPr>
            <w:r>
              <w:rPr>
                <w:rFonts w:hint="default" w:ascii="Times New Roman" w:hAnsi="Times New Roman" w:cs="Times New Roman"/>
                <w:color w:val="auto"/>
              </w:rPr>
              <w:t>车间冲洗水和运输车辆冲洗水经厂区内生产废水回用收集槽收集和回用池静置沉淀后回用于生产，不外排。生活污水经化粪池处理后通过市政污水管网纳入福州市洋里污水处理厂进一步处理。新建容积不少于230</w:t>
            </w:r>
            <w:r>
              <w:rPr>
                <w:rFonts w:hint="default" w:ascii="Times New Roman" w:hAnsi="Times New Roman" w:cs="Times New Roman"/>
                <w:color w:val="auto"/>
                <w:lang w:val="en-US" w:eastAsia="zh-CN"/>
              </w:rPr>
              <w:t>m³</w:t>
            </w:r>
            <w:r>
              <w:rPr>
                <w:rFonts w:hint="default" w:ascii="Times New Roman" w:hAnsi="Times New Roman" w:cs="Times New Roman"/>
                <w:color w:val="auto"/>
              </w:rPr>
              <w:t>的初期雨水收集池，收集的初期雨水经沉淀后回用于生产，不外排</w:t>
            </w:r>
            <w:r>
              <w:rPr>
                <w:rFonts w:hint="default" w:ascii="Times New Roman" w:hAnsi="Times New Roman" w:cs="Times New Roman"/>
                <w:color w:val="auto"/>
                <w:lang w:eastAsia="zh-CN"/>
              </w:rPr>
              <w:t>。</w:t>
            </w:r>
          </w:p>
        </w:tc>
        <w:tc>
          <w:tcPr>
            <w:tcW w:w="4634" w:type="dxa"/>
            <w:vAlign w:val="center"/>
          </w:tcPr>
          <w:p w14:paraId="6A2C770B">
            <w:pPr>
              <w:pStyle w:val="23"/>
              <w:widowControl w:val="0"/>
              <w:bidi w:val="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t>车间冲洗水和运输车辆冲洗水经厂区内生产废水回用收集槽收集和回用池静置沉淀后回用于生产，不外排。生活污水经化粪池处理后通过市政污水管网纳入福州市洋里污水处理厂进一步处理。</w:t>
            </w:r>
          </w:p>
        </w:tc>
        <w:tc>
          <w:tcPr>
            <w:tcW w:w="2032" w:type="dxa"/>
            <w:vAlign w:val="center"/>
          </w:tcPr>
          <w:p w14:paraId="556AD94B">
            <w:pPr>
              <w:pStyle w:val="23"/>
              <w:widowControl w:val="0"/>
              <w:bidi w:val="0"/>
              <w:jc w:val="center"/>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lang w:val="en-US" w:eastAsia="zh-CN"/>
              </w:rPr>
              <w:t>根据</w:t>
            </w:r>
            <w:r>
              <w:rPr>
                <w:rFonts w:hint="default" w:ascii="Times New Roman" w:hAnsi="Times New Roman" w:cs="Times New Roman"/>
                <w:color w:val="auto"/>
              </w:rPr>
              <w:t>《生活垃圾焚烧飞灰固化稳定化处理技术标准》</w:t>
            </w:r>
            <w:r>
              <w:rPr>
                <w:rFonts w:hint="default" w:ascii="Times New Roman" w:hAnsi="Times New Roman" w:cs="Times New Roman"/>
                <w:color w:val="auto"/>
                <w:lang w:eastAsia="zh-CN"/>
              </w:rPr>
              <w:t>（CJJ/T316-2023）</w:t>
            </w:r>
            <w:r>
              <w:rPr>
                <w:rFonts w:hint="eastAsia" w:ascii="Times New Roman" w:hAnsi="Times New Roman" w:cs="Times New Roman"/>
                <w:color w:val="auto"/>
                <w:lang w:val="en-US" w:eastAsia="zh-CN"/>
              </w:rPr>
              <w:t>要求，本项目无需设置初期雨水池。</w:t>
            </w:r>
          </w:p>
        </w:tc>
      </w:tr>
      <w:tr w14:paraId="77B1AD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14:paraId="4613285D">
            <w:pPr>
              <w:pStyle w:val="23"/>
              <w:widowControl w:val="0"/>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3</w:t>
            </w:r>
          </w:p>
        </w:tc>
        <w:tc>
          <w:tcPr>
            <w:tcW w:w="6275" w:type="dxa"/>
            <w:vAlign w:val="center"/>
          </w:tcPr>
          <w:p w14:paraId="5B4F717B">
            <w:pPr>
              <w:pStyle w:val="23"/>
              <w:widowControl w:val="0"/>
              <w:bidi w:val="0"/>
              <w:jc w:val="left"/>
              <w:rPr>
                <w:rFonts w:hint="default" w:ascii="Times New Roman" w:hAnsi="Times New Roman" w:cs="Times New Roman"/>
                <w:color w:val="auto"/>
              </w:rPr>
            </w:pPr>
            <w:r>
              <w:rPr>
                <w:rFonts w:hint="default" w:ascii="Times New Roman" w:hAnsi="Times New Roman" w:cs="Times New Roman"/>
                <w:color w:val="auto"/>
              </w:rPr>
              <w:t>优先选用低噪声设备，高噪声设备采取减振、隔声、消声等综合降噪措施，确保厂界噪声排放达标。</w:t>
            </w:r>
          </w:p>
        </w:tc>
        <w:tc>
          <w:tcPr>
            <w:tcW w:w="4634" w:type="dxa"/>
            <w:vAlign w:val="center"/>
          </w:tcPr>
          <w:p w14:paraId="466BFA60">
            <w:pPr>
              <w:pStyle w:val="23"/>
              <w:widowControl w:val="0"/>
              <w:bidi w:val="0"/>
              <w:jc w:val="left"/>
              <w:rPr>
                <w:rFonts w:hint="default" w:ascii="Times New Roman" w:hAnsi="Times New Roman" w:cs="Times New Roman"/>
                <w:color w:val="auto"/>
              </w:rPr>
            </w:pPr>
            <w:r>
              <w:rPr>
                <w:rFonts w:hint="default" w:ascii="Times New Roman" w:hAnsi="Times New Roman" w:cs="Times New Roman"/>
                <w:color w:val="auto"/>
                <w:lang w:val="en-US" w:eastAsia="zh-CN"/>
              </w:rPr>
              <w:t>已</w:t>
            </w:r>
            <w:r>
              <w:rPr>
                <w:rFonts w:hint="default" w:ascii="Times New Roman" w:hAnsi="Times New Roman" w:cs="Times New Roman"/>
                <w:color w:val="auto"/>
              </w:rPr>
              <w:t>选用低噪声设备，高噪声设备采取减振、隔声、消声等综合降噪措施，</w:t>
            </w:r>
            <w:r>
              <w:rPr>
                <w:rFonts w:hint="default" w:ascii="Times New Roman" w:hAnsi="Times New Roman" w:cs="Times New Roman"/>
                <w:color w:val="auto"/>
                <w:lang w:val="en-US" w:eastAsia="zh-CN"/>
              </w:rPr>
              <w:t>厂界各监测点噪声均可</w:t>
            </w:r>
            <w:r>
              <w:rPr>
                <w:rFonts w:hint="default" w:ascii="Times New Roman" w:hAnsi="Times New Roman" w:cs="Times New Roman"/>
                <w:color w:val="auto"/>
              </w:rPr>
              <w:t>排放达标</w:t>
            </w:r>
          </w:p>
        </w:tc>
        <w:tc>
          <w:tcPr>
            <w:tcW w:w="2032" w:type="dxa"/>
            <w:vAlign w:val="center"/>
          </w:tcPr>
          <w:p w14:paraId="18234712">
            <w:pPr>
              <w:pStyle w:val="23"/>
              <w:widowControl w:val="0"/>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已落实</w:t>
            </w:r>
          </w:p>
        </w:tc>
      </w:tr>
      <w:tr w14:paraId="057FD7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14:paraId="4BF8296F">
            <w:pPr>
              <w:pStyle w:val="23"/>
              <w:widowControl w:val="0"/>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4</w:t>
            </w:r>
          </w:p>
        </w:tc>
        <w:tc>
          <w:tcPr>
            <w:tcW w:w="6275" w:type="dxa"/>
            <w:vAlign w:val="center"/>
          </w:tcPr>
          <w:p w14:paraId="223896A8">
            <w:pPr>
              <w:pStyle w:val="23"/>
              <w:widowControl w:val="0"/>
              <w:bidi w:val="0"/>
              <w:jc w:val="left"/>
              <w:rPr>
                <w:rFonts w:hint="default" w:ascii="Times New Roman" w:hAnsi="Times New Roman" w:cs="Times New Roman"/>
                <w:color w:val="auto"/>
              </w:rPr>
            </w:pPr>
            <w:r>
              <w:rPr>
                <w:rFonts w:hint="default" w:ascii="Times New Roman" w:hAnsi="Times New Roman" w:cs="Times New Roman"/>
                <w:color w:val="auto"/>
              </w:rPr>
              <w:t>遵循减量化、资源化和无害化的原则，采用先进的清洁生产工艺，减少固体废物产生量，并按规范建设危险废物暂存场所及一般工业固体废物暂存场所。破损滤袋和废油桶收集后委托有资质单位处理，布袋除尘器收集的粉尘回用到生产工艺中，回用池沉淀渣和不合格的飞灰固化物经破碎后回到生产工艺中，生活垃圾由环卫部门统一收集处理</w:t>
            </w:r>
            <w:r>
              <w:rPr>
                <w:rFonts w:hint="default" w:ascii="Times New Roman" w:hAnsi="Times New Roman" w:cs="Times New Roman"/>
                <w:color w:val="auto"/>
                <w:lang w:eastAsia="zh-CN"/>
              </w:rPr>
              <w:t>。</w:t>
            </w:r>
          </w:p>
        </w:tc>
        <w:tc>
          <w:tcPr>
            <w:tcW w:w="4634" w:type="dxa"/>
            <w:vAlign w:val="center"/>
          </w:tcPr>
          <w:p w14:paraId="26A070B9">
            <w:pPr>
              <w:pStyle w:val="23"/>
              <w:widowControl w:val="0"/>
              <w:bidi w:val="0"/>
              <w:jc w:val="left"/>
              <w:rPr>
                <w:rFonts w:hint="default" w:ascii="Times New Roman" w:hAnsi="Times New Roman" w:cs="Times New Roman"/>
                <w:color w:val="auto"/>
              </w:rPr>
            </w:pPr>
            <w:r>
              <w:rPr>
                <w:rFonts w:hint="eastAsia" w:ascii="Times New Roman" w:hAnsi="Times New Roman" w:cs="Times New Roman"/>
                <w:color w:val="auto"/>
                <w:lang w:val="en-US" w:eastAsia="zh-CN"/>
              </w:rPr>
              <w:t>已</w:t>
            </w:r>
            <w:r>
              <w:rPr>
                <w:rFonts w:hint="default" w:ascii="Times New Roman" w:hAnsi="Times New Roman" w:cs="Times New Roman"/>
                <w:color w:val="auto"/>
              </w:rPr>
              <w:t>遵循减量化、资源化和无害化的原则，采用先进的清洁生产工艺，减少固体废物产生量，并按规范建设危险废物暂存场所及一般工业固体废物暂存场所。破损滤袋</w:t>
            </w:r>
            <w:r>
              <w:rPr>
                <w:rFonts w:hint="eastAsia" w:cs="Times New Roman"/>
                <w:color w:val="auto"/>
                <w:lang w:eastAsia="zh-CN"/>
              </w:rPr>
              <w:t>、</w:t>
            </w:r>
            <w:r>
              <w:rPr>
                <w:rFonts w:hint="eastAsia" w:cs="Times New Roman"/>
                <w:color w:val="auto"/>
                <w:lang w:val="en-US" w:eastAsia="zh-CN"/>
              </w:rPr>
              <w:t>废抹布、废手套、</w:t>
            </w:r>
            <w:r>
              <w:rPr>
                <w:rFonts w:hint="default" w:ascii="Times New Roman" w:hAnsi="Times New Roman" w:cs="Times New Roman"/>
                <w:color w:val="auto"/>
              </w:rPr>
              <w:t>废油桶收集后委托有资质单位处理</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危废合同见附件5</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，布袋除尘器收集的粉尘回用到生产工艺中，回用池沉淀渣</w:t>
            </w:r>
            <w:r>
              <w:rPr>
                <w:rFonts w:hint="default" w:ascii="Times New Roman" w:hAnsi="Times New Roman" w:cs="Times New Roman"/>
                <w:color w:val="auto"/>
              </w:rPr>
              <w:t>和不合格的飞灰固化物经破碎后回到生产工艺中，生活垃圾由环卫部门统一收集处理</w:t>
            </w:r>
          </w:p>
        </w:tc>
        <w:tc>
          <w:tcPr>
            <w:tcW w:w="2032" w:type="dxa"/>
            <w:vAlign w:val="center"/>
          </w:tcPr>
          <w:p w14:paraId="66FD4EF6">
            <w:pPr>
              <w:pStyle w:val="23"/>
              <w:widowControl w:val="0"/>
              <w:bidi w:val="0"/>
              <w:jc w:val="center"/>
              <w:rPr>
                <w:rFonts w:hint="default" w:ascii="Times New Roman" w:hAnsi="Times New Roman" w:cs="Times New Roman"/>
                <w:color w:val="auto"/>
              </w:rPr>
            </w:pPr>
            <w:r>
              <w:rPr>
                <w:rFonts w:hint="default" w:ascii="Times New Roman" w:hAnsi="Times New Roman" w:cs="Times New Roman"/>
                <w:color w:val="auto"/>
                <w:lang w:val="en-US" w:eastAsia="zh-CN"/>
              </w:rPr>
              <w:t>已落实</w:t>
            </w:r>
          </w:p>
        </w:tc>
      </w:tr>
      <w:tr w14:paraId="472D25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14:paraId="190BE47E">
            <w:pPr>
              <w:pStyle w:val="23"/>
              <w:widowControl w:val="0"/>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w:t>
            </w:r>
          </w:p>
        </w:tc>
        <w:tc>
          <w:tcPr>
            <w:tcW w:w="6275" w:type="dxa"/>
            <w:vAlign w:val="center"/>
          </w:tcPr>
          <w:p w14:paraId="1BEE8C7B">
            <w:pPr>
              <w:pStyle w:val="23"/>
              <w:widowControl w:val="0"/>
              <w:bidi w:val="0"/>
              <w:jc w:val="left"/>
              <w:rPr>
                <w:rFonts w:hint="default" w:ascii="Times New Roman" w:hAnsi="Times New Roman" w:cs="Times New Roman"/>
                <w:color w:val="auto"/>
              </w:rPr>
            </w:pPr>
            <w:r>
              <w:rPr>
                <w:rFonts w:hint="default" w:ascii="Times New Roman" w:hAnsi="Times New Roman" w:cs="Times New Roman"/>
                <w:color w:val="auto"/>
              </w:rPr>
              <w:t>地下水和土壤污染防治。加强生产设施的运行管理，尽量减少跑冒滴漏的产生。做好厂区分区防控措施，合理设置地下水和土壤跟踪监测点，严格落实土壤和地下水监测计划</w:t>
            </w:r>
            <w:r>
              <w:rPr>
                <w:rFonts w:hint="default" w:ascii="Times New Roman" w:hAnsi="Times New Roman" w:cs="Times New Roman"/>
                <w:color w:val="auto"/>
                <w:lang w:eastAsia="zh-CN"/>
              </w:rPr>
              <w:t>。</w:t>
            </w:r>
          </w:p>
        </w:tc>
        <w:tc>
          <w:tcPr>
            <w:tcW w:w="4634" w:type="dxa"/>
            <w:vAlign w:val="center"/>
          </w:tcPr>
          <w:p w14:paraId="6CEF52A0">
            <w:pPr>
              <w:pStyle w:val="23"/>
              <w:widowControl w:val="0"/>
              <w:bidi w:val="0"/>
              <w:jc w:val="left"/>
              <w:rPr>
                <w:rFonts w:hint="default" w:ascii="Times New Roman" w:hAnsi="Times New Roman" w:cs="Times New Roman"/>
                <w:color w:val="auto"/>
              </w:rPr>
            </w:pPr>
            <w:r>
              <w:rPr>
                <w:rFonts w:hint="default" w:ascii="Times New Roman" w:hAnsi="Times New Roman" w:cs="Times New Roman"/>
                <w:color w:val="auto"/>
                <w:lang w:val="en-US" w:eastAsia="zh-CN"/>
              </w:rPr>
              <w:t>已</w:t>
            </w:r>
            <w:r>
              <w:rPr>
                <w:rFonts w:hint="default" w:ascii="Times New Roman" w:hAnsi="Times New Roman" w:cs="Times New Roman"/>
                <w:color w:val="auto"/>
              </w:rPr>
              <w:t>做好厂区分区防控措施，</w:t>
            </w:r>
            <w:r>
              <w:rPr>
                <w:rFonts w:hint="default" w:ascii="Times New Roman" w:hAnsi="Times New Roman" w:cs="Times New Roman"/>
                <w:color w:val="auto"/>
                <w:lang w:val="en-US" w:eastAsia="zh-CN"/>
              </w:rPr>
              <w:t>已</w:t>
            </w:r>
            <w:r>
              <w:rPr>
                <w:rFonts w:hint="default" w:ascii="Times New Roman" w:hAnsi="Times New Roman" w:cs="Times New Roman"/>
                <w:color w:val="auto"/>
              </w:rPr>
              <w:t>设置地下水和土壤跟踪监测点，</w:t>
            </w:r>
            <w:r>
              <w:rPr>
                <w:rFonts w:hint="default" w:ascii="Times New Roman" w:hAnsi="Times New Roman" w:cs="Times New Roman"/>
                <w:color w:val="auto"/>
                <w:lang w:val="en-US" w:eastAsia="zh-CN"/>
              </w:rPr>
              <w:t>且已开展</w:t>
            </w:r>
            <w:r>
              <w:rPr>
                <w:rFonts w:hint="default" w:ascii="Times New Roman" w:hAnsi="Times New Roman" w:cs="Times New Roman"/>
                <w:color w:val="auto"/>
              </w:rPr>
              <w:t>土壤和地下水监测</w:t>
            </w:r>
            <w:r>
              <w:rPr>
                <w:rFonts w:hint="default" w:ascii="Times New Roman" w:hAnsi="Times New Roman" w:cs="Times New Roman"/>
                <w:color w:val="auto"/>
                <w:lang w:eastAsia="zh-CN"/>
              </w:rPr>
              <w:t>。</w:t>
            </w:r>
          </w:p>
        </w:tc>
        <w:tc>
          <w:tcPr>
            <w:tcW w:w="2032" w:type="dxa"/>
            <w:vAlign w:val="center"/>
          </w:tcPr>
          <w:p w14:paraId="3B165280">
            <w:pPr>
              <w:pStyle w:val="23"/>
              <w:widowControl w:val="0"/>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已落实</w:t>
            </w:r>
          </w:p>
        </w:tc>
      </w:tr>
      <w:tr w14:paraId="26F65E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14:paraId="2809994B">
            <w:pPr>
              <w:pStyle w:val="23"/>
              <w:widowControl w:val="0"/>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6</w:t>
            </w:r>
          </w:p>
        </w:tc>
        <w:tc>
          <w:tcPr>
            <w:tcW w:w="6275" w:type="dxa"/>
            <w:vAlign w:val="center"/>
          </w:tcPr>
          <w:p w14:paraId="2CBD8225">
            <w:pPr>
              <w:pStyle w:val="23"/>
              <w:widowControl w:val="0"/>
              <w:bidi w:val="0"/>
              <w:jc w:val="left"/>
              <w:rPr>
                <w:rFonts w:hint="default" w:ascii="Times New Roman" w:hAnsi="Times New Roman" w:cs="Times New Roman"/>
                <w:color w:val="auto"/>
              </w:rPr>
            </w:pPr>
            <w:r>
              <w:rPr>
                <w:rFonts w:hint="default" w:ascii="Times New Roman" w:hAnsi="Times New Roman" w:cs="Times New Roman"/>
                <w:color w:val="auto"/>
              </w:rPr>
              <w:t>严格落实《报告书》提出的各项环境风险防范措施，新建1个容积不小于277</w:t>
            </w:r>
            <w:r>
              <w:rPr>
                <w:rFonts w:hint="default" w:ascii="Times New Roman" w:hAnsi="Times New Roman" w:cs="Times New Roman"/>
                <w:color w:val="auto"/>
                <w:lang w:val="en-US" w:eastAsia="zh-CN"/>
              </w:rPr>
              <w:t>m³</w:t>
            </w:r>
            <w:r>
              <w:rPr>
                <w:rFonts w:hint="default" w:ascii="Times New Roman" w:hAnsi="Times New Roman" w:cs="Times New Roman"/>
                <w:color w:val="auto"/>
              </w:rPr>
              <w:t>的事故应急池，配备事故废水收集管网和应急切换阀，确保事故废水不外排。及时修订突发环境事件应急预案，定期开展事故环境风险应急演练并与园区及地方政府建立应急联动机制，确保周边环境安全</w:t>
            </w:r>
            <w:r>
              <w:rPr>
                <w:rFonts w:hint="default" w:ascii="Times New Roman" w:hAnsi="Times New Roman" w:cs="Times New Roman"/>
                <w:color w:val="auto"/>
                <w:lang w:eastAsia="zh-CN"/>
              </w:rPr>
              <w:t>。</w:t>
            </w:r>
          </w:p>
        </w:tc>
        <w:tc>
          <w:tcPr>
            <w:tcW w:w="4634" w:type="dxa"/>
            <w:vAlign w:val="center"/>
          </w:tcPr>
          <w:p w14:paraId="15FCE102">
            <w:pPr>
              <w:pStyle w:val="23"/>
              <w:widowControl w:val="0"/>
              <w:bidi w:val="0"/>
              <w:jc w:val="left"/>
              <w:rPr>
                <w:rFonts w:hint="default" w:ascii="Times New Roman" w:hAnsi="Times New Roman" w:cs="Times New Roman"/>
                <w:color w:val="auto"/>
              </w:rPr>
            </w:pPr>
            <w:r>
              <w:rPr>
                <w:rFonts w:hint="default" w:ascii="Times New Roman" w:hAnsi="Times New Roman" w:cs="Times New Roman"/>
                <w:color w:val="auto"/>
                <w:lang w:val="en-US" w:eastAsia="zh-CN"/>
              </w:rPr>
              <w:t>已</w:t>
            </w:r>
            <w:r>
              <w:rPr>
                <w:rFonts w:hint="default" w:ascii="Times New Roman" w:hAnsi="Times New Roman" w:cs="Times New Roman"/>
                <w:color w:val="auto"/>
              </w:rPr>
              <w:t>严格落实《报告书》提出的各项环境风险防范措施，</w:t>
            </w:r>
            <w:r>
              <w:rPr>
                <w:rFonts w:hint="default" w:ascii="Times New Roman" w:hAnsi="Times New Roman" w:cs="Times New Roman"/>
                <w:color w:val="auto"/>
              </w:rPr>
              <w:t>并新建应急池</w:t>
            </w:r>
            <w:r>
              <w:rPr>
                <w:rFonts w:hint="default" w:ascii="Times New Roman" w:hAnsi="Times New Roman" w:cs="Times New Roman"/>
                <w:color w:val="auto"/>
                <w:lang w:val="en-US" w:eastAsia="zh-CN"/>
              </w:rPr>
              <w:t>100m³</w:t>
            </w:r>
            <w:r>
              <w:rPr>
                <w:rFonts w:hint="eastAsia" w:cs="Times New Roman"/>
                <w:color w:val="auto"/>
                <w:lang w:val="en-US" w:eastAsia="zh-CN"/>
              </w:rPr>
              <w:t>，配备应急水泵</w:t>
            </w:r>
            <w:r>
              <w:rPr>
                <w:rFonts w:hint="eastAsia" w:ascii="Times New Roman" w:hAnsi="Times New Roman" w:cs="Times New Roman"/>
                <w:color w:val="auto"/>
                <w:lang w:eastAsia="zh-CN"/>
              </w:rPr>
              <w:t>，</w:t>
            </w:r>
            <w:r>
              <w:rPr>
                <w:rFonts w:hint="default" w:ascii="Times New Roman" w:hAnsi="Times New Roman" w:cs="Times New Roman"/>
                <w:color w:val="auto"/>
              </w:rPr>
              <w:t>配备事故废水收集管网和应急切换阀，确保事故废水不外排。</w:t>
            </w:r>
            <w:r>
              <w:rPr>
                <w:rFonts w:hint="default" w:ascii="Times New Roman" w:hAnsi="Times New Roman" w:cs="Times New Roman"/>
                <w:color w:val="auto"/>
                <w:lang w:val="en-US" w:eastAsia="zh-CN"/>
              </w:rPr>
              <w:t>且已</w:t>
            </w:r>
            <w:r>
              <w:rPr>
                <w:rFonts w:hint="default" w:ascii="Times New Roman" w:hAnsi="Times New Roman" w:cs="Times New Roman"/>
                <w:color w:val="auto"/>
              </w:rPr>
              <w:t>修订突发环境事件应急预案</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备案编号：350111-2024-003-L</w:t>
            </w:r>
            <w:r>
              <w:rPr>
                <w:rFonts w:hint="default" w:ascii="Times New Roman" w:hAnsi="Times New Roman" w:cs="Times New Roman"/>
                <w:color w:val="auto"/>
                <w:lang w:eastAsia="zh-CN"/>
              </w:rPr>
              <w:t>）</w:t>
            </w:r>
            <w:r>
              <w:rPr>
                <w:rFonts w:hint="default" w:ascii="Times New Roman" w:hAnsi="Times New Roman" w:cs="Times New Roman"/>
                <w:color w:val="auto"/>
              </w:rPr>
              <w:t>，定期开展事故环境风险应急演练并与园区及地方政府建立应急联动机制，确保周边环境安全</w:t>
            </w:r>
            <w:r>
              <w:rPr>
                <w:rFonts w:hint="default" w:ascii="Times New Roman" w:hAnsi="Times New Roman" w:cs="Times New Roman"/>
                <w:color w:val="auto"/>
                <w:lang w:eastAsia="zh-CN"/>
              </w:rPr>
              <w:t>。</w:t>
            </w:r>
          </w:p>
        </w:tc>
        <w:tc>
          <w:tcPr>
            <w:tcW w:w="2032" w:type="dxa"/>
            <w:vAlign w:val="center"/>
          </w:tcPr>
          <w:p w14:paraId="27BAA7E0">
            <w:pPr>
              <w:pStyle w:val="23"/>
              <w:widowControl w:val="0"/>
              <w:bidi w:val="0"/>
              <w:jc w:val="center"/>
              <w:rPr>
                <w:rFonts w:hint="default" w:ascii="Times New Roman" w:hAnsi="Times New Roman" w:eastAsia="宋体" w:cs="Times New Roman"/>
                <w:color w:val="auto"/>
                <w:lang w:val="en-US" w:eastAsia="zh-CN"/>
              </w:rPr>
            </w:pPr>
            <w:r>
              <w:rPr>
                <w:rFonts w:hint="eastAsia"/>
                <w:color w:val="auto"/>
                <w:lang w:val="en-US" w:eastAsia="zh-CN"/>
              </w:rPr>
              <w:t>根据4.2.1节</w:t>
            </w:r>
            <w:r>
              <w:rPr>
                <w:rFonts w:hint="eastAsia" w:ascii="Times New Roman" w:hAnsi="Times New Roman" w:eastAsia="宋体" w:cs="Times New Roman"/>
                <w:color w:val="auto"/>
                <w:lang w:val="en-US" w:eastAsia="zh-CN"/>
              </w:rPr>
              <w:t>环境风险防范措施计算可知，项目事故废水量为174.34m³，本项目事故废水池容积为220m³，可以满足事故废水暂存，不会对厂区外的环境造成明显的影响，</w:t>
            </w:r>
            <w:r>
              <w:rPr>
                <w:rFonts w:hint="default" w:ascii="Times New Roman" w:hAnsi="Times New Roman" w:cs="Times New Roman"/>
                <w:color w:val="auto"/>
                <w:lang w:val="en-US" w:eastAsia="zh-CN"/>
              </w:rPr>
              <w:t>已落实</w:t>
            </w:r>
          </w:p>
        </w:tc>
      </w:tr>
      <w:tr w14:paraId="2EC45F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14:paraId="53FFCB05">
            <w:pPr>
              <w:pStyle w:val="23"/>
              <w:widowControl w:val="0"/>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7</w:t>
            </w:r>
          </w:p>
        </w:tc>
        <w:tc>
          <w:tcPr>
            <w:tcW w:w="6275" w:type="dxa"/>
            <w:vAlign w:val="center"/>
          </w:tcPr>
          <w:p w14:paraId="4F4F7069">
            <w:pPr>
              <w:pStyle w:val="23"/>
              <w:widowControl w:val="0"/>
              <w:bidi w:val="0"/>
              <w:jc w:val="left"/>
              <w:rPr>
                <w:rFonts w:hint="default" w:ascii="Times New Roman" w:hAnsi="Times New Roman" w:cs="Times New Roman"/>
                <w:color w:val="auto"/>
              </w:rPr>
            </w:pPr>
            <w:r>
              <w:rPr>
                <w:rFonts w:hint="default" w:ascii="Times New Roman" w:hAnsi="Times New Roman" w:cs="Times New Roman"/>
                <w:color w:val="auto"/>
              </w:rPr>
              <w:t>加强环境管理能力建设，完善环境管理制度加强施工期环境保护管理，控制施工期扬尘、污水、噪声等对周边环境的影响。主动发布企业环境保护信息，自觉接受社会监督。按照国家有关规定和监测规范，制定并严格落实施工期和运营期监测计划，并按规定向社会公开</w:t>
            </w:r>
            <w:r>
              <w:rPr>
                <w:rFonts w:hint="default" w:ascii="Times New Roman" w:hAnsi="Times New Roman" w:cs="Times New Roman"/>
                <w:color w:val="auto"/>
                <w:lang w:eastAsia="zh-CN"/>
              </w:rPr>
              <w:t>。</w:t>
            </w:r>
          </w:p>
        </w:tc>
        <w:tc>
          <w:tcPr>
            <w:tcW w:w="4634" w:type="dxa"/>
            <w:vAlign w:val="center"/>
          </w:tcPr>
          <w:p w14:paraId="187E39D4">
            <w:pPr>
              <w:pStyle w:val="23"/>
              <w:widowControl w:val="0"/>
              <w:bidi w:val="0"/>
              <w:jc w:val="left"/>
              <w:rPr>
                <w:rFonts w:hint="default" w:ascii="Times New Roman" w:hAnsi="Times New Roman" w:cs="Times New Roman"/>
                <w:color w:val="auto"/>
              </w:rPr>
            </w:pPr>
            <w:r>
              <w:rPr>
                <w:rFonts w:hint="default" w:ascii="Times New Roman" w:hAnsi="Times New Roman" w:cs="Times New Roman"/>
                <w:color w:val="auto"/>
                <w:lang w:val="en-US" w:eastAsia="zh-CN"/>
              </w:rPr>
              <w:t>已</w:t>
            </w:r>
            <w:r>
              <w:rPr>
                <w:rFonts w:hint="default" w:ascii="Times New Roman" w:hAnsi="Times New Roman" w:cs="Times New Roman"/>
                <w:color w:val="auto"/>
              </w:rPr>
              <w:t>按照国家有关规定和监测规范，制定并严格落实监测计划，并</w:t>
            </w:r>
            <w:r>
              <w:rPr>
                <w:rFonts w:hint="default" w:ascii="Times New Roman" w:hAnsi="Times New Roman" w:cs="Times New Roman"/>
                <w:color w:val="auto"/>
                <w:lang w:val="en-US" w:eastAsia="zh-CN"/>
              </w:rPr>
              <w:t>已通过</w:t>
            </w:r>
            <w:r>
              <w:rPr>
                <w:rFonts w:hint="default" w:ascii="Times New Roman" w:hAnsi="Times New Roman" w:cs="Times New Roman"/>
                <w:color w:val="auto"/>
              </w:rPr>
              <w:t>福建省生态环境亲清服务平台向社会公开</w:t>
            </w:r>
            <w:r>
              <w:rPr>
                <w:rFonts w:hint="default" w:ascii="Times New Roman" w:hAnsi="Times New Roman" w:cs="Times New Roman"/>
                <w:color w:val="auto"/>
                <w:lang w:eastAsia="zh-CN"/>
              </w:rPr>
              <w:t>。</w:t>
            </w:r>
          </w:p>
        </w:tc>
        <w:tc>
          <w:tcPr>
            <w:tcW w:w="2032" w:type="dxa"/>
            <w:vAlign w:val="center"/>
          </w:tcPr>
          <w:p w14:paraId="40370B61">
            <w:pPr>
              <w:pStyle w:val="23"/>
              <w:widowControl w:val="0"/>
              <w:bidi w:val="0"/>
              <w:jc w:val="center"/>
              <w:rPr>
                <w:rFonts w:hint="default" w:ascii="Times New Roman" w:hAnsi="Times New Roman" w:cs="Times New Roman"/>
                <w:color w:val="auto"/>
              </w:rPr>
            </w:pPr>
            <w:r>
              <w:rPr>
                <w:rFonts w:hint="default" w:ascii="Times New Roman" w:hAnsi="Times New Roman" w:cs="Times New Roman"/>
                <w:color w:val="auto"/>
                <w:lang w:val="en-US" w:eastAsia="zh-CN"/>
              </w:rPr>
              <w:t>已落实</w:t>
            </w:r>
          </w:p>
        </w:tc>
      </w:tr>
    </w:tbl>
    <w:p w14:paraId="33EDD354">
      <w:pPr>
        <w:pStyle w:val="21"/>
        <w:bidi w:val="0"/>
        <w:outlineLvl w:val="9"/>
        <w:rPr>
          <w:rFonts w:hint="default" w:ascii="Times New Roman" w:hAnsi="Times New Roman" w:cs="Times New Roman"/>
          <w:color w:val="auto"/>
        </w:rPr>
        <w:sectPr>
          <w:pgSz w:w="16841" w:h="11912" w:orient="landscape"/>
          <w:pgMar w:top="1701" w:right="1701" w:bottom="1417" w:left="1701" w:header="1078" w:footer="991" w:gutter="0"/>
          <w:pgNumType w:fmt="decimal"/>
          <w:cols w:space="720" w:num="1"/>
        </w:sectPr>
      </w:pPr>
    </w:p>
    <w:p w14:paraId="43AC4D78">
      <w:pPr>
        <w:pStyle w:val="2"/>
        <w:bidi w:val="0"/>
        <w:rPr>
          <w:rFonts w:hint="default" w:ascii="Times New Roman" w:hAnsi="Times New Roman" w:cs="Times New Roman"/>
          <w:color w:val="auto"/>
        </w:rPr>
      </w:pPr>
      <w:bookmarkStart w:id="45" w:name="_Toc21537"/>
      <w:r>
        <w:rPr>
          <w:rFonts w:hint="default" w:ascii="Times New Roman" w:hAnsi="Times New Roman" w:cs="Times New Roman"/>
          <w:color w:val="auto"/>
        </w:rPr>
        <w:t>6验收执行标准</w:t>
      </w:r>
      <w:bookmarkEnd w:id="45"/>
    </w:p>
    <w:p w14:paraId="09CD72EB">
      <w:pPr>
        <w:bidi w:val="0"/>
        <w:rPr>
          <w:rFonts w:hint="default" w:ascii="Times New Roman" w:hAnsi="Times New Roman" w:cs="Times New Roman"/>
          <w:color w:val="auto"/>
          <w:lang w:eastAsia="zh-CN"/>
        </w:rPr>
      </w:pPr>
      <w:r>
        <w:rPr>
          <w:rFonts w:hint="default" w:ascii="Times New Roman" w:hAnsi="Times New Roman" w:cs="Times New Roman"/>
          <w:color w:val="auto"/>
        </w:rPr>
        <w:t>根据项目环评</w:t>
      </w:r>
      <w:r>
        <w:rPr>
          <w:rFonts w:hint="default" w:ascii="Times New Roman" w:hAnsi="Times New Roman" w:cs="Times New Roman"/>
          <w:color w:val="auto"/>
          <w:lang w:val="en-US" w:eastAsia="zh-CN"/>
        </w:rPr>
        <w:t>及</w:t>
      </w:r>
      <w:r>
        <w:rPr>
          <w:rFonts w:hint="default" w:ascii="Times New Roman" w:hAnsi="Times New Roman" w:cs="Times New Roman"/>
          <w:color w:val="auto"/>
        </w:rPr>
        <w:t>批复等相关要求</w:t>
      </w:r>
      <w:r>
        <w:rPr>
          <w:rFonts w:hint="default" w:ascii="Times New Roman" w:hAnsi="Times New Roman" w:cs="Times New Roman"/>
          <w:color w:val="auto"/>
          <w:lang w:eastAsia="zh-CN"/>
        </w:rPr>
        <w:t>，</w:t>
      </w:r>
      <w:r>
        <w:rPr>
          <w:rFonts w:hint="default" w:ascii="Times New Roman" w:hAnsi="Times New Roman" w:cs="Times New Roman"/>
          <w:color w:val="auto"/>
        </w:rPr>
        <w:t>本次验收污染物排放标准执行情况如下</w:t>
      </w:r>
      <w:r>
        <w:rPr>
          <w:rFonts w:hint="default" w:ascii="Times New Roman" w:hAnsi="Times New Roman" w:cs="Times New Roman"/>
          <w:color w:val="auto"/>
          <w:lang w:eastAsia="zh-CN"/>
        </w:rPr>
        <w:t>：</w:t>
      </w:r>
    </w:p>
    <w:p w14:paraId="23C2E56D">
      <w:pPr>
        <w:pStyle w:val="3"/>
        <w:bidi w:val="0"/>
        <w:rPr>
          <w:rFonts w:hint="default" w:ascii="Times New Roman" w:hAnsi="Times New Roman" w:cs="Times New Roman"/>
          <w:color w:val="auto"/>
        </w:rPr>
      </w:pPr>
      <w:bookmarkStart w:id="46" w:name="_Toc24108"/>
      <w:r>
        <w:rPr>
          <w:rFonts w:hint="default" w:ascii="Times New Roman" w:hAnsi="Times New Roman" w:cs="Times New Roman"/>
          <w:color w:val="auto"/>
        </w:rPr>
        <w:t>6.</w:t>
      </w:r>
      <w:r>
        <w:rPr>
          <w:rFonts w:hint="default" w:ascii="Times New Roman" w:hAnsi="Times New Roman" w:cs="Times New Roman"/>
          <w:color w:val="auto"/>
          <w:lang w:val="en-US" w:eastAsia="zh-CN"/>
        </w:rPr>
        <w:t>1</w:t>
      </w:r>
      <w:r>
        <w:rPr>
          <w:rFonts w:hint="default" w:ascii="Times New Roman" w:hAnsi="Times New Roman" w:cs="Times New Roman"/>
          <w:color w:val="auto"/>
        </w:rPr>
        <w:t>废水</w:t>
      </w:r>
      <w:bookmarkEnd w:id="46"/>
    </w:p>
    <w:p w14:paraId="32A021FD">
      <w:pPr>
        <w:bidi w:val="0"/>
        <w:rPr>
          <w:rFonts w:hint="default" w:ascii="Times New Roman" w:hAnsi="Times New Roman" w:cs="Times New Roman"/>
          <w:color w:val="auto"/>
        </w:rPr>
      </w:pPr>
      <w:r>
        <w:rPr>
          <w:rFonts w:hint="default" w:ascii="Times New Roman" w:hAnsi="Times New Roman" w:cs="Times New Roman"/>
          <w:color w:val="auto"/>
        </w:rPr>
        <w:t>生产废水不外排。</w:t>
      </w:r>
      <w:r>
        <w:rPr>
          <w:rFonts w:hint="default" w:ascii="Times New Roman" w:hAnsi="Times New Roman" w:cs="Times New Roman"/>
          <w:color w:val="auto"/>
          <w:kern w:val="1"/>
          <w:u w:val="none"/>
        </w:rPr>
        <w:t>生活污水经厂区化粪池预处理达《污水综合排放标准》（GB8978-1996）表4中三级标准（其中，</w:t>
      </w:r>
      <w:r>
        <w:rPr>
          <w:rFonts w:hint="eastAsia" w:cs="Times New Roman"/>
          <w:color w:val="auto"/>
          <w:kern w:val="1"/>
          <w:u w:val="none"/>
          <w:lang w:eastAsia="zh-CN"/>
        </w:rPr>
        <w:t>“</w:t>
      </w:r>
      <w:r>
        <w:rPr>
          <w:rFonts w:hint="default" w:ascii="Times New Roman" w:hAnsi="Times New Roman" w:cs="Times New Roman"/>
          <w:color w:val="auto"/>
          <w:kern w:val="1"/>
          <w:u w:val="none"/>
        </w:rPr>
        <w:t>氨氮</w:t>
      </w:r>
      <w:r>
        <w:rPr>
          <w:rFonts w:hint="eastAsia" w:cs="Times New Roman"/>
          <w:color w:val="auto"/>
          <w:kern w:val="1"/>
          <w:u w:val="none"/>
          <w:lang w:eastAsia="zh-CN"/>
        </w:rPr>
        <w:t>”</w:t>
      </w:r>
      <w:r>
        <w:rPr>
          <w:rFonts w:hint="default" w:ascii="Times New Roman" w:hAnsi="Times New Roman" w:cs="Times New Roman"/>
          <w:color w:val="auto"/>
          <w:kern w:val="1"/>
          <w:u w:val="none"/>
        </w:rPr>
        <w:t>参照执行《污水排入城镇下水道水质标准》(GB/T31962-2015)</w:t>
      </w:r>
      <w:r>
        <w:rPr>
          <w:rFonts w:hint="default" w:ascii="Times New Roman" w:hAnsi="Times New Roman" w:cs="Times New Roman"/>
          <w:color w:val="auto"/>
          <w:kern w:val="1"/>
          <w:u w:val="none"/>
          <w:lang w:val="en-US" w:eastAsia="zh-CN"/>
        </w:rPr>
        <w:t>表1</w:t>
      </w:r>
      <w:r>
        <w:rPr>
          <w:rFonts w:hint="default" w:ascii="Times New Roman" w:hAnsi="Times New Roman" w:cs="Times New Roman"/>
          <w:color w:val="auto"/>
          <w:kern w:val="1"/>
          <w:u w:val="none"/>
        </w:rPr>
        <w:t>中</w:t>
      </w:r>
      <w:r>
        <w:rPr>
          <w:rFonts w:hint="default" w:ascii="Times New Roman" w:hAnsi="Times New Roman" w:cs="Times New Roman"/>
          <w:color w:val="auto"/>
          <w:kern w:val="1"/>
          <w:u w:val="none"/>
          <w:lang w:val="en-US" w:eastAsia="zh-CN"/>
        </w:rPr>
        <w:t>B级</w:t>
      </w:r>
      <w:r>
        <w:rPr>
          <w:rFonts w:hint="default" w:ascii="Times New Roman" w:hAnsi="Times New Roman" w:cs="Times New Roman"/>
          <w:color w:val="auto"/>
          <w:kern w:val="1"/>
          <w:u w:val="none"/>
        </w:rPr>
        <w:t>标准）后接市政污水管网排入福州市洋里污水处理厂处理</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kern w:val="1"/>
          <w:u w:val="none"/>
          <w:lang w:val="en-US" w:eastAsia="zh-CN"/>
        </w:rPr>
        <w:t>详见</w:t>
      </w:r>
      <w:r>
        <w:rPr>
          <w:rFonts w:hint="default" w:ascii="Times New Roman" w:hAnsi="Times New Roman" w:cs="Times New Roman"/>
          <w:color w:val="auto"/>
        </w:rPr>
        <w:t>表6</w:t>
      </w:r>
      <w:r>
        <w:rPr>
          <w:rFonts w:hint="default" w:ascii="Times New Roman" w:hAnsi="Times New Roman" w:cs="Times New Roman"/>
          <w:color w:val="auto"/>
          <w:lang w:val="en-US" w:eastAsia="zh-CN"/>
        </w:rPr>
        <w:t>.</w:t>
      </w:r>
      <w:r>
        <w:rPr>
          <w:rFonts w:hint="eastAsia" w:cs="Times New Roman"/>
          <w:color w:val="auto"/>
          <w:lang w:val="en-US" w:eastAsia="zh-CN"/>
        </w:rPr>
        <w:t>1</w:t>
      </w:r>
      <w:r>
        <w:rPr>
          <w:rFonts w:hint="default" w:ascii="Times New Roman" w:hAnsi="Times New Roman" w:cs="Times New Roman"/>
          <w:color w:val="auto"/>
        </w:rPr>
        <w:t>-1。</w:t>
      </w:r>
    </w:p>
    <w:p w14:paraId="03C6006D">
      <w:pPr>
        <w:pStyle w:val="21"/>
        <w:bidi w:val="0"/>
        <w:rPr>
          <w:rFonts w:hint="default" w:ascii="Times New Roman" w:hAnsi="Times New Roman" w:cs="Times New Roman"/>
          <w:color w:val="auto"/>
        </w:rPr>
      </w:pPr>
      <w:r>
        <w:rPr>
          <w:rFonts w:hint="default" w:ascii="Times New Roman" w:hAnsi="Times New Roman" w:cs="Times New Roman"/>
          <w:color w:val="auto"/>
        </w:rPr>
        <w:t>表6</w:t>
      </w:r>
      <w:r>
        <w:rPr>
          <w:rFonts w:hint="default" w:ascii="Times New Roman" w:hAnsi="Times New Roman" w:cs="Times New Roman"/>
          <w:color w:val="auto"/>
          <w:lang w:val="en-US" w:eastAsia="zh-CN"/>
        </w:rPr>
        <w:t>.</w:t>
      </w:r>
      <w:r>
        <w:rPr>
          <w:rFonts w:hint="eastAsia" w:cs="Times New Roman"/>
          <w:color w:val="auto"/>
          <w:lang w:val="en-US" w:eastAsia="zh-CN"/>
        </w:rPr>
        <w:t>1</w:t>
      </w:r>
      <w:r>
        <w:rPr>
          <w:rFonts w:hint="default" w:ascii="Times New Roman" w:hAnsi="Times New Roman" w:cs="Times New Roman"/>
          <w:color w:val="auto"/>
        </w:rPr>
        <w:t>-1</w:t>
      </w:r>
      <w:r>
        <w:rPr>
          <w:rFonts w:hint="default" w:ascii="Times New Roman" w:hAnsi="Times New Roman" w:cs="Times New Roman"/>
          <w:color w:val="auto"/>
          <w:lang w:val="en-US" w:eastAsia="zh-CN"/>
        </w:rPr>
        <w:t xml:space="preserve"> 废水</w:t>
      </w:r>
      <w:r>
        <w:rPr>
          <w:rFonts w:hint="default" w:ascii="Times New Roman" w:hAnsi="Times New Roman" w:cs="Times New Roman"/>
          <w:color w:val="auto"/>
        </w:rPr>
        <w:t>排放标准</w:t>
      </w:r>
    </w:p>
    <w:tbl>
      <w:tblPr>
        <w:tblStyle w:val="14"/>
        <w:tblW w:w="9071" w:type="dxa"/>
        <w:jc w:val="center"/>
        <w:tblBorders>
          <w:top w:val="none" w:color="auto" w:sz="4" w:space="0"/>
          <w:left w:val="none" w:color="auto" w:sz="4" w:space="0"/>
          <w:bottom w:val="single" w:color="auto" w:sz="12" w:space="0"/>
          <w:right w:val="none" w:color="auto" w:sz="4" w:space="0"/>
          <w:insideH w:val="none" w:color="auto" w:sz="4" w:space="0"/>
          <w:insideV w:val="none" w:color="auto" w:sz="4" w:space="0"/>
        </w:tblBorders>
        <w:tblLayout w:type="fixed"/>
        <w:tblCellMar>
          <w:top w:w="0" w:type="dxa"/>
          <w:left w:w="0" w:type="dxa"/>
          <w:bottom w:w="0" w:type="dxa"/>
          <w:right w:w="0" w:type="dxa"/>
        </w:tblCellMar>
      </w:tblPr>
      <w:tblGrid>
        <w:gridCol w:w="757"/>
        <w:gridCol w:w="2420"/>
        <w:gridCol w:w="1215"/>
        <w:gridCol w:w="4679"/>
      </w:tblGrid>
      <w:tr w14:paraId="233D47C7">
        <w:tblPrEx>
          <w:tblBorders>
            <w:top w:val="none" w:color="auto" w:sz="4"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757" w:type="dxa"/>
            <w:tcBorders>
              <w:top w:val="single" w:color="000000" w:sz="12" w:space="0"/>
              <w:bottom w:val="single" w:color="auto" w:sz="4" w:space="0"/>
              <w:right w:val="single" w:color="auto" w:sz="4" w:space="0"/>
            </w:tcBorders>
            <w:noWrap w:val="0"/>
            <w:vAlign w:val="center"/>
          </w:tcPr>
          <w:p w14:paraId="53F027AF">
            <w:pPr>
              <w:pStyle w:val="23"/>
              <w:bidi w:val="0"/>
              <w:rPr>
                <w:rFonts w:hint="default" w:ascii="Times New Roman" w:hAnsi="Times New Roman" w:cs="Times New Roman"/>
                <w:color w:val="auto"/>
              </w:rPr>
            </w:pPr>
            <w:r>
              <w:rPr>
                <w:rFonts w:hint="default" w:ascii="Times New Roman" w:hAnsi="Times New Roman" w:cs="Times New Roman"/>
                <w:color w:val="auto"/>
              </w:rPr>
              <w:t>序号</w:t>
            </w:r>
          </w:p>
        </w:tc>
        <w:tc>
          <w:tcPr>
            <w:tcW w:w="2420" w:type="dxa"/>
            <w:tcBorders>
              <w:top w:val="single" w:color="000000" w:sz="12" w:space="0"/>
              <w:left w:val="single" w:color="auto" w:sz="4" w:space="0"/>
              <w:bottom w:val="single" w:color="auto" w:sz="4" w:space="0"/>
              <w:right w:val="single" w:color="auto" w:sz="4" w:space="0"/>
            </w:tcBorders>
            <w:noWrap w:val="0"/>
            <w:vAlign w:val="center"/>
          </w:tcPr>
          <w:p w14:paraId="5778835E">
            <w:pPr>
              <w:pStyle w:val="23"/>
              <w:bidi w:val="0"/>
              <w:rPr>
                <w:rFonts w:hint="default" w:ascii="Times New Roman" w:hAnsi="Times New Roman" w:cs="Times New Roman"/>
                <w:color w:val="auto"/>
              </w:rPr>
            </w:pPr>
            <w:r>
              <w:rPr>
                <w:rFonts w:hint="default" w:ascii="Times New Roman" w:hAnsi="Times New Roman" w:cs="Times New Roman"/>
                <w:color w:val="auto"/>
              </w:rPr>
              <w:t>污染物</w:t>
            </w:r>
          </w:p>
        </w:tc>
        <w:tc>
          <w:tcPr>
            <w:tcW w:w="1215" w:type="dxa"/>
            <w:tcBorders>
              <w:top w:val="single" w:color="000000" w:sz="12" w:space="0"/>
              <w:left w:val="single" w:color="auto" w:sz="4" w:space="0"/>
              <w:bottom w:val="single" w:color="auto" w:sz="4" w:space="0"/>
              <w:right w:val="single" w:color="auto" w:sz="4" w:space="0"/>
            </w:tcBorders>
            <w:noWrap w:val="0"/>
            <w:vAlign w:val="center"/>
          </w:tcPr>
          <w:p w14:paraId="3BC1D39B">
            <w:pPr>
              <w:pStyle w:val="23"/>
              <w:bidi w:val="0"/>
              <w:rPr>
                <w:rFonts w:hint="default" w:ascii="Times New Roman" w:hAnsi="Times New Roman" w:cs="Times New Roman"/>
                <w:color w:val="auto"/>
              </w:rPr>
            </w:pPr>
            <w:r>
              <w:rPr>
                <w:rFonts w:hint="default" w:ascii="Times New Roman" w:hAnsi="Times New Roman" w:cs="Times New Roman"/>
                <w:color w:val="auto"/>
              </w:rPr>
              <w:t>标准值</w:t>
            </w:r>
          </w:p>
        </w:tc>
        <w:tc>
          <w:tcPr>
            <w:tcW w:w="4679" w:type="dxa"/>
            <w:tcBorders>
              <w:top w:val="single" w:color="000000" w:sz="12" w:space="0"/>
              <w:left w:val="single" w:color="auto" w:sz="4" w:space="0"/>
              <w:bottom w:val="single" w:color="auto" w:sz="4" w:space="0"/>
            </w:tcBorders>
            <w:noWrap w:val="0"/>
            <w:vAlign w:val="center"/>
          </w:tcPr>
          <w:p w14:paraId="02F4FB3F">
            <w:pPr>
              <w:pStyle w:val="23"/>
              <w:bidi w:val="0"/>
              <w:rPr>
                <w:rFonts w:hint="default" w:ascii="Times New Roman" w:hAnsi="Times New Roman" w:cs="Times New Roman"/>
                <w:color w:val="auto"/>
              </w:rPr>
            </w:pPr>
            <w:r>
              <w:rPr>
                <w:rFonts w:hint="default" w:ascii="Times New Roman" w:hAnsi="Times New Roman" w:cs="Times New Roman"/>
                <w:color w:val="auto"/>
              </w:rPr>
              <w:t>标准来源</w:t>
            </w:r>
          </w:p>
        </w:tc>
      </w:tr>
      <w:tr w14:paraId="532D0ECD">
        <w:tblPrEx>
          <w:tblBorders>
            <w:top w:val="none" w:color="auto" w:sz="4"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757" w:type="dxa"/>
            <w:tcBorders>
              <w:top w:val="single" w:color="auto" w:sz="4" w:space="0"/>
              <w:bottom w:val="single" w:color="auto" w:sz="4" w:space="0"/>
              <w:right w:val="single" w:color="auto" w:sz="4" w:space="0"/>
            </w:tcBorders>
            <w:noWrap w:val="0"/>
            <w:vAlign w:val="center"/>
          </w:tcPr>
          <w:p w14:paraId="5B5E15D4">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7A4D1C4">
            <w:pPr>
              <w:pStyle w:val="23"/>
              <w:bidi w:val="0"/>
              <w:rPr>
                <w:rFonts w:hint="default" w:ascii="Times New Roman" w:hAnsi="Times New Roman" w:cs="Times New Roman"/>
                <w:color w:val="auto"/>
              </w:rPr>
            </w:pPr>
            <w:r>
              <w:rPr>
                <w:rFonts w:hint="default" w:ascii="Times New Roman" w:hAnsi="Times New Roman" w:cs="Times New Roman"/>
                <w:color w:val="auto"/>
              </w:rPr>
              <w:t>pH</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57A9BB3C">
            <w:pPr>
              <w:pStyle w:val="23"/>
              <w:bidi w:val="0"/>
              <w:rPr>
                <w:rFonts w:hint="default" w:ascii="Times New Roman" w:hAnsi="Times New Roman" w:cs="Times New Roman"/>
                <w:color w:val="auto"/>
              </w:rPr>
            </w:pPr>
            <w:r>
              <w:rPr>
                <w:rFonts w:hint="default" w:ascii="Times New Roman" w:hAnsi="Times New Roman" w:cs="Times New Roman"/>
                <w:color w:val="auto"/>
              </w:rPr>
              <w:t>6～9</w:t>
            </w:r>
          </w:p>
        </w:tc>
        <w:tc>
          <w:tcPr>
            <w:tcW w:w="4679" w:type="dxa"/>
            <w:vMerge w:val="restart"/>
            <w:tcBorders>
              <w:top w:val="single" w:color="auto" w:sz="4" w:space="0"/>
              <w:left w:val="single" w:color="auto" w:sz="4" w:space="0"/>
              <w:bottom w:val="single" w:color="auto" w:sz="4" w:space="0"/>
            </w:tcBorders>
            <w:noWrap w:val="0"/>
            <w:vAlign w:val="center"/>
          </w:tcPr>
          <w:p w14:paraId="7BC56BCC">
            <w:pPr>
              <w:pStyle w:val="23"/>
              <w:bidi w:val="0"/>
              <w:rPr>
                <w:rFonts w:hint="default" w:ascii="Times New Roman" w:hAnsi="Times New Roman" w:cs="Times New Roman"/>
                <w:color w:val="auto"/>
              </w:rPr>
            </w:pPr>
            <w:r>
              <w:rPr>
                <w:rFonts w:hint="default" w:ascii="Times New Roman" w:hAnsi="Times New Roman" w:cs="Times New Roman"/>
                <w:color w:val="auto"/>
              </w:rPr>
              <w:t>《污水综合排放标准》（GB8978－1996）表4中三级标准</w:t>
            </w:r>
          </w:p>
        </w:tc>
      </w:tr>
      <w:tr w14:paraId="22A27BB8">
        <w:tblPrEx>
          <w:tblBorders>
            <w:top w:val="none" w:color="auto" w:sz="4"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757" w:type="dxa"/>
            <w:tcBorders>
              <w:top w:val="single" w:color="auto" w:sz="4" w:space="0"/>
              <w:bottom w:val="single" w:color="auto" w:sz="4" w:space="0"/>
              <w:right w:val="single" w:color="auto" w:sz="4" w:space="0"/>
            </w:tcBorders>
            <w:noWrap w:val="0"/>
            <w:vAlign w:val="center"/>
          </w:tcPr>
          <w:p w14:paraId="76373D8C">
            <w:pPr>
              <w:pStyle w:val="23"/>
              <w:bidi w:val="0"/>
              <w:rPr>
                <w:rFonts w:hint="default" w:ascii="Times New Roman" w:hAnsi="Times New Roman" w:cs="Times New Roman"/>
                <w:color w:val="auto"/>
              </w:rPr>
            </w:pPr>
            <w:r>
              <w:rPr>
                <w:rFonts w:hint="default" w:ascii="Times New Roman" w:hAnsi="Times New Roman" w:cs="Times New Roman"/>
                <w:color w:val="auto"/>
              </w:rPr>
              <w:t>2</w:t>
            </w: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D3CC8F9">
            <w:pPr>
              <w:pStyle w:val="23"/>
              <w:bidi w:val="0"/>
              <w:rPr>
                <w:rFonts w:hint="default" w:ascii="Times New Roman" w:hAnsi="Times New Roman" w:cs="Times New Roman"/>
                <w:color w:val="auto"/>
              </w:rPr>
            </w:pPr>
            <w:r>
              <w:rPr>
                <w:rFonts w:hint="default" w:ascii="Times New Roman" w:hAnsi="Times New Roman" w:cs="Times New Roman"/>
                <w:color w:val="auto"/>
              </w:rPr>
              <w:t>COD(mg/L)≤</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7353CC81">
            <w:pPr>
              <w:pStyle w:val="23"/>
              <w:bidi w:val="0"/>
              <w:rPr>
                <w:rFonts w:hint="default" w:ascii="Times New Roman" w:hAnsi="Times New Roman" w:cs="Times New Roman"/>
                <w:color w:val="auto"/>
              </w:rPr>
            </w:pPr>
            <w:r>
              <w:rPr>
                <w:rFonts w:hint="default" w:ascii="Times New Roman" w:hAnsi="Times New Roman" w:cs="Times New Roman"/>
                <w:color w:val="auto"/>
              </w:rPr>
              <w:t>500</w:t>
            </w:r>
          </w:p>
        </w:tc>
        <w:tc>
          <w:tcPr>
            <w:tcW w:w="4679" w:type="dxa"/>
            <w:vMerge w:val="continue"/>
            <w:tcBorders>
              <w:top w:val="single" w:color="auto" w:sz="4" w:space="0"/>
              <w:left w:val="single" w:color="auto" w:sz="4" w:space="0"/>
              <w:bottom w:val="single" w:color="auto" w:sz="4" w:space="0"/>
            </w:tcBorders>
            <w:noWrap w:val="0"/>
            <w:vAlign w:val="center"/>
          </w:tcPr>
          <w:p w14:paraId="4B25B2EA">
            <w:pPr>
              <w:pStyle w:val="23"/>
              <w:bidi w:val="0"/>
              <w:rPr>
                <w:rFonts w:hint="default" w:ascii="Times New Roman" w:hAnsi="Times New Roman" w:cs="Times New Roman"/>
                <w:color w:val="auto"/>
              </w:rPr>
            </w:pPr>
          </w:p>
        </w:tc>
      </w:tr>
      <w:tr w14:paraId="244979BE">
        <w:tblPrEx>
          <w:tblBorders>
            <w:top w:val="none" w:color="auto" w:sz="4"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90" w:hRule="atLeast"/>
          <w:jc w:val="center"/>
        </w:trPr>
        <w:tc>
          <w:tcPr>
            <w:tcW w:w="757" w:type="dxa"/>
            <w:tcBorders>
              <w:top w:val="single" w:color="auto" w:sz="4" w:space="0"/>
              <w:bottom w:val="single" w:color="auto" w:sz="4" w:space="0"/>
              <w:right w:val="single" w:color="auto" w:sz="4" w:space="0"/>
            </w:tcBorders>
            <w:noWrap w:val="0"/>
            <w:vAlign w:val="center"/>
          </w:tcPr>
          <w:p w14:paraId="77EF1529">
            <w:pPr>
              <w:pStyle w:val="23"/>
              <w:bidi w:val="0"/>
              <w:rPr>
                <w:rFonts w:hint="default" w:ascii="Times New Roman" w:hAnsi="Times New Roman" w:cs="Times New Roman"/>
                <w:color w:val="auto"/>
              </w:rPr>
            </w:pPr>
            <w:r>
              <w:rPr>
                <w:rFonts w:hint="default" w:ascii="Times New Roman" w:hAnsi="Times New Roman" w:cs="Times New Roman"/>
                <w:color w:val="auto"/>
              </w:rPr>
              <w:t>3</w:t>
            </w: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362BCE5">
            <w:pPr>
              <w:pStyle w:val="23"/>
              <w:bidi w:val="0"/>
              <w:rPr>
                <w:rFonts w:hint="default" w:ascii="Times New Roman" w:hAnsi="Times New Roman" w:cs="Times New Roman"/>
                <w:color w:val="auto"/>
              </w:rPr>
            </w:pPr>
            <w:r>
              <w:rPr>
                <w:rFonts w:hint="default" w:ascii="Times New Roman" w:hAnsi="Times New Roman" w:cs="Times New Roman"/>
                <w:color w:val="auto"/>
              </w:rPr>
              <w:t>悬浮物(mg/L)≤</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1A666351">
            <w:pPr>
              <w:pStyle w:val="23"/>
              <w:bidi w:val="0"/>
              <w:rPr>
                <w:rFonts w:hint="default" w:ascii="Times New Roman" w:hAnsi="Times New Roman" w:cs="Times New Roman"/>
                <w:color w:val="auto"/>
              </w:rPr>
            </w:pPr>
            <w:r>
              <w:rPr>
                <w:rFonts w:hint="default" w:ascii="Times New Roman" w:hAnsi="Times New Roman" w:cs="Times New Roman"/>
                <w:color w:val="auto"/>
              </w:rPr>
              <w:t>400</w:t>
            </w:r>
          </w:p>
        </w:tc>
        <w:tc>
          <w:tcPr>
            <w:tcW w:w="4679" w:type="dxa"/>
            <w:vMerge w:val="continue"/>
            <w:tcBorders>
              <w:top w:val="single" w:color="auto" w:sz="4" w:space="0"/>
              <w:left w:val="single" w:color="auto" w:sz="4" w:space="0"/>
              <w:bottom w:val="single" w:color="auto" w:sz="4" w:space="0"/>
            </w:tcBorders>
            <w:noWrap w:val="0"/>
            <w:vAlign w:val="center"/>
          </w:tcPr>
          <w:p w14:paraId="29B15A82">
            <w:pPr>
              <w:pStyle w:val="23"/>
              <w:bidi w:val="0"/>
              <w:rPr>
                <w:rFonts w:hint="default" w:ascii="Times New Roman" w:hAnsi="Times New Roman" w:cs="Times New Roman"/>
                <w:color w:val="auto"/>
              </w:rPr>
            </w:pPr>
          </w:p>
        </w:tc>
      </w:tr>
      <w:tr w14:paraId="2F2C0517">
        <w:tblPrEx>
          <w:tblBorders>
            <w:top w:val="none" w:color="auto" w:sz="4"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757" w:type="dxa"/>
            <w:tcBorders>
              <w:top w:val="single" w:color="auto" w:sz="4" w:space="0"/>
              <w:bottom w:val="single" w:color="auto" w:sz="4" w:space="0"/>
              <w:right w:val="single" w:color="auto" w:sz="4" w:space="0"/>
            </w:tcBorders>
            <w:noWrap w:val="0"/>
            <w:vAlign w:val="center"/>
          </w:tcPr>
          <w:p w14:paraId="130ACCBE">
            <w:pPr>
              <w:pStyle w:val="23"/>
              <w:bidi w:val="0"/>
              <w:rPr>
                <w:rFonts w:hint="default" w:ascii="Times New Roman" w:hAnsi="Times New Roman" w:cs="Times New Roman"/>
                <w:color w:val="auto"/>
              </w:rPr>
            </w:pPr>
            <w:r>
              <w:rPr>
                <w:rFonts w:hint="default" w:ascii="Times New Roman" w:hAnsi="Times New Roman" w:cs="Times New Roman"/>
                <w:color w:val="auto"/>
              </w:rPr>
              <w:t>4</w:t>
            </w:r>
          </w:p>
        </w:tc>
        <w:tc>
          <w:tcPr>
            <w:tcW w:w="2420" w:type="dxa"/>
            <w:tcBorders>
              <w:top w:val="single" w:color="auto" w:sz="4" w:space="0"/>
              <w:left w:val="single" w:color="auto" w:sz="4" w:space="0"/>
              <w:bottom w:val="single" w:color="auto" w:sz="4" w:space="0"/>
              <w:right w:val="single" w:color="auto" w:sz="4" w:space="0"/>
            </w:tcBorders>
            <w:noWrap w:val="0"/>
            <w:vAlign w:val="center"/>
          </w:tcPr>
          <w:p w14:paraId="4ABC813C">
            <w:pPr>
              <w:pStyle w:val="23"/>
              <w:bidi w:val="0"/>
              <w:rPr>
                <w:rFonts w:hint="default" w:ascii="Times New Roman" w:hAnsi="Times New Roman" w:cs="Times New Roman"/>
                <w:color w:val="auto"/>
              </w:rPr>
            </w:pPr>
            <w:r>
              <w:rPr>
                <w:rFonts w:hint="default" w:ascii="Times New Roman" w:hAnsi="Times New Roman" w:cs="Times New Roman"/>
                <w:color w:val="auto"/>
              </w:rPr>
              <w:t>BOD</w:t>
            </w:r>
            <w:r>
              <w:rPr>
                <w:rFonts w:hint="default" w:ascii="Times New Roman" w:hAnsi="Times New Roman" w:cs="Times New Roman"/>
                <w:color w:val="auto"/>
                <w:vertAlign w:val="subscript"/>
              </w:rPr>
              <w:t>5</w:t>
            </w:r>
            <w:r>
              <w:rPr>
                <w:rFonts w:hint="default" w:ascii="Times New Roman" w:hAnsi="Times New Roman" w:cs="Times New Roman"/>
                <w:color w:val="auto"/>
              </w:rPr>
              <w:t>(mg/L)≤</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42EB1671">
            <w:pPr>
              <w:pStyle w:val="23"/>
              <w:bidi w:val="0"/>
              <w:rPr>
                <w:rFonts w:hint="default" w:ascii="Times New Roman" w:hAnsi="Times New Roman" w:cs="Times New Roman"/>
                <w:color w:val="auto"/>
              </w:rPr>
            </w:pPr>
            <w:r>
              <w:rPr>
                <w:rFonts w:hint="default" w:ascii="Times New Roman" w:hAnsi="Times New Roman" w:cs="Times New Roman"/>
                <w:color w:val="auto"/>
              </w:rPr>
              <w:t>300</w:t>
            </w:r>
          </w:p>
        </w:tc>
        <w:tc>
          <w:tcPr>
            <w:tcW w:w="4679" w:type="dxa"/>
            <w:vMerge w:val="continue"/>
            <w:tcBorders>
              <w:top w:val="single" w:color="auto" w:sz="4" w:space="0"/>
              <w:left w:val="single" w:color="auto" w:sz="4" w:space="0"/>
              <w:bottom w:val="single" w:color="auto" w:sz="4" w:space="0"/>
            </w:tcBorders>
            <w:noWrap w:val="0"/>
            <w:vAlign w:val="center"/>
          </w:tcPr>
          <w:p w14:paraId="4011641F">
            <w:pPr>
              <w:pStyle w:val="23"/>
              <w:bidi w:val="0"/>
              <w:rPr>
                <w:rFonts w:hint="default" w:ascii="Times New Roman" w:hAnsi="Times New Roman" w:cs="Times New Roman"/>
                <w:color w:val="auto"/>
              </w:rPr>
            </w:pPr>
          </w:p>
        </w:tc>
      </w:tr>
      <w:tr w14:paraId="37771C16">
        <w:tblPrEx>
          <w:tblBorders>
            <w:top w:val="none" w:color="auto" w:sz="4"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757" w:type="dxa"/>
            <w:tcBorders>
              <w:top w:val="single" w:color="auto" w:sz="4" w:space="0"/>
              <w:right w:val="single" w:color="auto" w:sz="4" w:space="0"/>
            </w:tcBorders>
            <w:shd w:val="clear" w:color="auto" w:fill="auto"/>
            <w:noWrap w:val="0"/>
            <w:vAlign w:val="center"/>
          </w:tcPr>
          <w:p w14:paraId="5A4D3331">
            <w:pPr>
              <w:pStyle w:val="23"/>
              <w:bidi w:val="0"/>
              <w:ind w:firstLine="0" w:firstLineChars="0"/>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cs="Times New Roman"/>
                <w:color w:val="auto"/>
              </w:rPr>
              <w:t>5</w:t>
            </w:r>
          </w:p>
        </w:tc>
        <w:tc>
          <w:tcPr>
            <w:tcW w:w="2420" w:type="dxa"/>
            <w:tcBorders>
              <w:top w:val="single" w:color="auto" w:sz="4" w:space="0"/>
              <w:left w:val="single" w:color="auto" w:sz="4" w:space="0"/>
              <w:right w:val="single" w:color="auto" w:sz="4" w:space="0"/>
            </w:tcBorders>
            <w:shd w:val="clear" w:color="auto" w:fill="auto"/>
            <w:noWrap w:val="0"/>
            <w:vAlign w:val="center"/>
          </w:tcPr>
          <w:p w14:paraId="1477E591">
            <w:pPr>
              <w:pStyle w:val="23"/>
              <w:bidi w:val="0"/>
              <w:ind w:firstLine="0" w:firstLineChars="0"/>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cs="Times New Roman"/>
                <w:color w:val="auto"/>
              </w:rPr>
              <w:t>氨氮(mg/L)≤</w:t>
            </w:r>
          </w:p>
        </w:tc>
        <w:tc>
          <w:tcPr>
            <w:tcW w:w="1215" w:type="dxa"/>
            <w:tcBorders>
              <w:top w:val="single" w:color="auto" w:sz="4" w:space="0"/>
              <w:left w:val="single" w:color="auto" w:sz="4" w:space="0"/>
              <w:right w:val="single" w:color="auto" w:sz="4" w:space="0"/>
            </w:tcBorders>
            <w:shd w:val="clear" w:color="auto" w:fill="auto"/>
            <w:noWrap w:val="0"/>
            <w:vAlign w:val="center"/>
          </w:tcPr>
          <w:p w14:paraId="72F43BEA">
            <w:pPr>
              <w:pStyle w:val="23"/>
              <w:bidi w:val="0"/>
              <w:ind w:firstLine="0" w:firstLineChars="0"/>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cs="Times New Roman"/>
                <w:color w:val="auto"/>
              </w:rPr>
              <w:t>45</w:t>
            </w:r>
          </w:p>
        </w:tc>
        <w:tc>
          <w:tcPr>
            <w:tcW w:w="4679" w:type="dxa"/>
            <w:tcBorders>
              <w:top w:val="single" w:color="auto" w:sz="4" w:space="0"/>
              <w:left w:val="single" w:color="auto" w:sz="4" w:space="0"/>
            </w:tcBorders>
            <w:noWrap w:val="0"/>
            <w:vAlign w:val="center"/>
          </w:tcPr>
          <w:p w14:paraId="096AFBFF">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参照《污水排入城镇下水道水质标准》（GB/T31962-2015）表1</w:t>
            </w:r>
            <w:r>
              <w:rPr>
                <w:rFonts w:hint="default" w:ascii="Times New Roman" w:hAnsi="Times New Roman" w:cs="Times New Roman"/>
                <w:color w:val="auto"/>
                <w:lang w:val="en-US" w:eastAsia="zh-CN"/>
              </w:rPr>
              <w:t>中</w:t>
            </w:r>
            <w:r>
              <w:rPr>
                <w:rFonts w:hint="default" w:ascii="Times New Roman" w:hAnsi="Times New Roman" w:cs="Times New Roman"/>
                <w:color w:val="auto"/>
              </w:rPr>
              <w:t>B级</w:t>
            </w:r>
            <w:r>
              <w:rPr>
                <w:rFonts w:hint="default" w:ascii="Times New Roman" w:hAnsi="Times New Roman" w:cs="Times New Roman"/>
                <w:color w:val="auto"/>
                <w:lang w:val="en-US" w:eastAsia="zh-CN"/>
              </w:rPr>
              <w:t>标准</w:t>
            </w:r>
          </w:p>
        </w:tc>
      </w:tr>
    </w:tbl>
    <w:p w14:paraId="493183CF">
      <w:pPr>
        <w:pStyle w:val="3"/>
        <w:bidi w:val="0"/>
        <w:rPr>
          <w:rFonts w:hint="default" w:ascii="Times New Roman" w:hAnsi="Times New Roman" w:cs="Times New Roman"/>
          <w:color w:val="auto"/>
        </w:rPr>
      </w:pPr>
      <w:bookmarkStart w:id="47" w:name="_Toc25473"/>
      <w:r>
        <w:rPr>
          <w:rFonts w:hint="default" w:ascii="Times New Roman" w:hAnsi="Times New Roman" w:cs="Times New Roman"/>
          <w:color w:val="auto"/>
        </w:rPr>
        <w:t>6.</w:t>
      </w:r>
      <w:r>
        <w:rPr>
          <w:rFonts w:hint="default" w:ascii="Times New Roman" w:hAnsi="Times New Roman" w:cs="Times New Roman"/>
          <w:color w:val="auto"/>
          <w:lang w:val="en-US" w:eastAsia="zh-CN"/>
        </w:rPr>
        <w:t>2</w:t>
      </w:r>
      <w:r>
        <w:rPr>
          <w:rFonts w:hint="default" w:ascii="Times New Roman" w:hAnsi="Times New Roman" w:cs="Times New Roman"/>
          <w:color w:val="auto"/>
        </w:rPr>
        <w:t>废气</w:t>
      </w:r>
      <w:bookmarkEnd w:id="47"/>
    </w:p>
    <w:p w14:paraId="0F2006B6">
      <w:pPr>
        <w:bidi w:val="0"/>
        <w:rPr>
          <w:rFonts w:hint="default" w:ascii="Times New Roman" w:hAnsi="Times New Roman" w:cs="Times New Roman"/>
          <w:color w:val="auto"/>
        </w:rPr>
      </w:pPr>
      <w:r>
        <w:rPr>
          <w:rFonts w:hint="default" w:ascii="Times New Roman" w:hAnsi="Times New Roman" w:cs="Times New Roman"/>
          <w:color w:val="auto"/>
        </w:rPr>
        <w:t>根据环评批复，本项目废气主要产生于飞灰接收贮存环节。本次</w:t>
      </w:r>
      <w:r>
        <w:rPr>
          <w:rFonts w:hint="default" w:ascii="Times New Roman" w:hAnsi="Times New Roman" w:cs="Times New Roman"/>
          <w:color w:val="auto"/>
          <w:lang w:eastAsia="zh-CN"/>
        </w:rPr>
        <w:t>改扩建</w:t>
      </w:r>
      <w:r>
        <w:rPr>
          <w:rFonts w:hint="default" w:ascii="Times New Roman" w:hAnsi="Times New Roman" w:cs="Times New Roman"/>
          <w:color w:val="auto"/>
        </w:rPr>
        <w:t>生产线排气筒高度设计为25m，项目产生的粉尘颗粒物等经布袋除尘器处理后通过排气筒引至屋顶进行有组织排放；飞灰卸料系统开闭以及设备检修过程中存在微量的颗粒物粉尘散溢，呈无组织排放。</w:t>
      </w:r>
      <w:r>
        <w:rPr>
          <w:rFonts w:hint="default" w:ascii="Times New Roman" w:hAnsi="Times New Roman" w:cs="Times New Roman"/>
          <w:color w:val="auto"/>
          <w:lang w:val="en-US" w:eastAsia="zh-CN"/>
        </w:rPr>
        <w:t>项目废气</w:t>
      </w:r>
      <w:r>
        <w:rPr>
          <w:rFonts w:hint="default" w:ascii="Times New Roman" w:hAnsi="Times New Roman" w:cs="Times New Roman"/>
          <w:color w:val="auto"/>
        </w:rPr>
        <w:t>执行《大气污染物综合排放标准》(</w:t>
      </w:r>
      <w:r>
        <w:rPr>
          <w:rFonts w:hint="eastAsia" w:ascii="Times New Roman" w:hAnsi="Times New Roman" w:cs="Times New Roman"/>
          <w:color w:val="auto"/>
          <w:lang w:eastAsia="zh-CN"/>
        </w:rPr>
        <w:t>GB16297—1996</w:t>
      </w:r>
      <w:r>
        <w:rPr>
          <w:rFonts w:hint="default" w:ascii="Times New Roman" w:hAnsi="Times New Roman" w:cs="Times New Roman"/>
          <w:color w:val="auto"/>
        </w:rPr>
        <w:t>)中表2中二级排放标准</w:t>
      </w:r>
      <w:r>
        <w:rPr>
          <w:rFonts w:hint="default" w:ascii="Times New Roman" w:hAnsi="Times New Roman" w:cs="Times New Roman"/>
          <w:color w:val="auto"/>
          <w:lang w:eastAsia="zh-CN"/>
        </w:rPr>
        <w:t>，</w:t>
      </w:r>
      <w:r>
        <w:rPr>
          <w:rFonts w:hint="default" w:ascii="Times New Roman" w:hAnsi="Times New Roman" w:cs="Times New Roman"/>
          <w:color w:val="auto"/>
        </w:rPr>
        <w:t>具体执行标准见表6</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p>
    <w:p w14:paraId="5EA4641A">
      <w:pPr>
        <w:pStyle w:val="21"/>
        <w:bidi w:val="0"/>
        <w:rPr>
          <w:rFonts w:hint="default" w:ascii="Times New Roman" w:hAnsi="Times New Roman" w:cs="Times New Roman"/>
          <w:color w:val="auto"/>
        </w:rPr>
      </w:pPr>
      <w:r>
        <w:rPr>
          <w:rFonts w:hint="default" w:ascii="Times New Roman" w:hAnsi="Times New Roman" w:cs="Times New Roman"/>
          <w:color w:val="auto"/>
        </w:rPr>
        <w:t>表6</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lang w:val="en-US" w:eastAsia="zh-CN"/>
        </w:rPr>
        <w:t xml:space="preserve"> 大气污染物</w:t>
      </w:r>
      <w:r>
        <w:rPr>
          <w:rFonts w:hint="default" w:ascii="Times New Roman" w:hAnsi="Times New Roman" w:cs="Times New Roman"/>
          <w:color w:val="auto"/>
        </w:rPr>
        <w:t>排放标准</w:t>
      </w:r>
    </w:p>
    <w:tbl>
      <w:tblPr>
        <w:tblStyle w:val="14"/>
        <w:tblW w:w="9071"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448"/>
        <w:gridCol w:w="1773"/>
        <w:gridCol w:w="944"/>
        <w:gridCol w:w="1487"/>
        <w:gridCol w:w="1563"/>
        <w:gridCol w:w="1856"/>
      </w:tblGrid>
      <w:tr w14:paraId="22DFD65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48" w:type="dxa"/>
            <w:noWrap w:val="0"/>
            <w:vAlign w:val="center"/>
          </w:tcPr>
          <w:p w14:paraId="253EB4C7">
            <w:pPr>
              <w:pStyle w:val="23"/>
              <w:bidi w:val="0"/>
              <w:rPr>
                <w:rFonts w:hint="default" w:ascii="Times New Roman" w:hAnsi="Times New Roman" w:cs="Times New Roman"/>
                <w:color w:val="auto"/>
              </w:rPr>
            </w:pPr>
            <w:r>
              <w:rPr>
                <w:rFonts w:hint="default" w:ascii="Times New Roman" w:hAnsi="Times New Roman" w:cs="Times New Roman"/>
                <w:color w:val="auto"/>
              </w:rPr>
              <w:t>污染物名称</w:t>
            </w:r>
          </w:p>
        </w:tc>
        <w:tc>
          <w:tcPr>
            <w:tcW w:w="1773" w:type="dxa"/>
            <w:noWrap w:val="0"/>
            <w:vAlign w:val="center"/>
          </w:tcPr>
          <w:p w14:paraId="2190EB19">
            <w:pPr>
              <w:pStyle w:val="23"/>
              <w:bidi w:val="0"/>
              <w:rPr>
                <w:rFonts w:hint="default" w:ascii="Times New Roman" w:hAnsi="Times New Roman" w:cs="Times New Roman"/>
                <w:color w:val="auto"/>
              </w:rPr>
            </w:pPr>
            <w:r>
              <w:rPr>
                <w:rFonts w:hint="default" w:ascii="Times New Roman" w:hAnsi="Times New Roman" w:cs="Times New Roman"/>
                <w:color w:val="auto"/>
              </w:rPr>
              <w:t>最高允许排放浓度（mg/</w:t>
            </w:r>
            <w:r>
              <w:rPr>
                <w:rFonts w:hint="default" w:ascii="Times New Roman" w:hAnsi="Times New Roman" w:cs="Times New Roman"/>
                <w:color w:val="auto"/>
                <w:lang w:val="en-US" w:eastAsia="zh-CN"/>
              </w:rPr>
              <w:t>m³</w:t>
            </w:r>
            <w:r>
              <w:rPr>
                <w:rFonts w:hint="default" w:ascii="Times New Roman" w:hAnsi="Times New Roman" w:cs="Times New Roman"/>
                <w:color w:val="auto"/>
              </w:rPr>
              <w:t>）</w:t>
            </w:r>
          </w:p>
        </w:tc>
        <w:tc>
          <w:tcPr>
            <w:tcW w:w="944" w:type="dxa"/>
            <w:noWrap w:val="0"/>
            <w:vAlign w:val="center"/>
          </w:tcPr>
          <w:p w14:paraId="26398201">
            <w:pPr>
              <w:pStyle w:val="23"/>
              <w:bidi w:val="0"/>
              <w:rPr>
                <w:rFonts w:hint="default" w:ascii="Times New Roman" w:hAnsi="Times New Roman" w:cs="Times New Roman"/>
                <w:color w:val="auto"/>
              </w:rPr>
            </w:pPr>
            <w:r>
              <w:rPr>
                <w:rFonts w:hint="default" w:ascii="Times New Roman" w:hAnsi="Times New Roman" w:cs="Times New Roman"/>
                <w:color w:val="auto"/>
              </w:rPr>
              <w:t>排气筒高度（m）</w:t>
            </w:r>
          </w:p>
        </w:tc>
        <w:tc>
          <w:tcPr>
            <w:tcW w:w="1487" w:type="dxa"/>
            <w:noWrap w:val="0"/>
            <w:vAlign w:val="center"/>
          </w:tcPr>
          <w:p w14:paraId="61135226">
            <w:pPr>
              <w:pStyle w:val="23"/>
              <w:bidi w:val="0"/>
              <w:rPr>
                <w:rFonts w:hint="default" w:ascii="Times New Roman" w:hAnsi="Times New Roman" w:cs="Times New Roman"/>
                <w:color w:val="auto"/>
              </w:rPr>
            </w:pPr>
            <w:r>
              <w:rPr>
                <w:rFonts w:hint="default" w:ascii="Times New Roman" w:hAnsi="Times New Roman" w:cs="Times New Roman"/>
                <w:color w:val="auto"/>
              </w:rPr>
              <w:t>最高允许排放速率（kg/h）</w:t>
            </w:r>
          </w:p>
        </w:tc>
        <w:tc>
          <w:tcPr>
            <w:tcW w:w="1563" w:type="dxa"/>
            <w:noWrap w:val="0"/>
            <w:vAlign w:val="center"/>
          </w:tcPr>
          <w:p w14:paraId="38C7239C">
            <w:pPr>
              <w:pStyle w:val="23"/>
              <w:bidi w:val="0"/>
              <w:rPr>
                <w:rFonts w:hint="default" w:ascii="Times New Roman" w:hAnsi="Times New Roman" w:cs="Times New Roman"/>
                <w:color w:val="auto"/>
              </w:rPr>
            </w:pPr>
            <w:r>
              <w:rPr>
                <w:rFonts w:hint="default" w:ascii="Times New Roman" w:hAnsi="Times New Roman" w:cs="Times New Roman"/>
                <w:color w:val="auto"/>
              </w:rPr>
              <w:t>无组织排放监控浓度限值（mg/</w:t>
            </w:r>
            <w:r>
              <w:rPr>
                <w:rFonts w:hint="default" w:ascii="Times New Roman" w:hAnsi="Times New Roman" w:cs="Times New Roman"/>
                <w:color w:val="auto"/>
                <w:lang w:val="en-US" w:eastAsia="zh-CN"/>
              </w:rPr>
              <w:t>m³</w:t>
            </w:r>
            <w:r>
              <w:rPr>
                <w:rFonts w:hint="default" w:ascii="Times New Roman" w:hAnsi="Times New Roman" w:cs="Times New Roman"/>
                <w:color w:val="auto"/>
              </w:rPr>
              <w:t>）</w:t>
            </w:r>
          </w:p>
        </w:tc>
        <w:tc>
          <w:tcPr>
            <w:tcW w:w="1856" w:type="dxa"/>
            <w:noWrap w:val="0"/>
            <w:vAlign w:val="center"/>
          </w:tcPr>
          <w:p w14:paraId="6199E7F7">
            <w:pPr>
              <w:pStyle w:val="23"/>
              <w:bidi w:val="0"/>
              <w:rPr>
                <w:rFonts w:hint="default" w:ascii="Times New Roman" w:hAnsi="Times New Roman" w:cs="Times New Roman"/>
                <w:color w:val="auto"/>
              </w:rPr>
            </w:pPr>
            <w:r>
              <w:rPr>
                <w:rFonts w:hint="default" w:ascii="Times New Roman" w:hAnsi="Times New Roman" w:cs="Times New Roman"/>
                <w:color w:val="auto"/>
              </w:rPr>
              <w:t>执行标准</w:t>
            </w:r>
          </w:p>
        </w:tc>
      </w:tr>
      <w:tr w14:paraId="3591C43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48" w:type="dxa"/>
            <w:noWrap w:val="0"/>
            <w:vAlign w:val="center"/>
          </w:tcPr>
          <w:p w14:paraId="421B3B6D">
            <w:pPr>
              <w:pStyle w:val="23"/>
              <w:bidi w:val="0"/>
              <w:rPr>
                <w:rFonts w:hint="default" w:ascii="Times New Roman" w:hAnsi="Times New Roman" w:cs="Times New Roman"/>
                <w:color w:val="auto"/>
              </w:rPr>
            </w:pPr>
            <w:r>
              <w:rPr>
                <w:rFonts w:hint="default" w:ascii="Times New Roman" w:hAnsi="Times New Roman" w:cs="Times New Roman"/>
                <w:color w:val="auto"/>
              </w:rPr>
              <w:t>颗粒物</w:t>
            </w:r>
          </w:p>
        </w:tc>
        <w:tc>
          <w:tcPr>
            <w:tcW w:w="1773" w:type="dxa"/>
            <w:noWrap w:val="0"/>
            <w:vAlign w:val="center"/>
          </w:tcPr>
          <w:p w14:paraId="45279655">
            <w:pPr>
              <w:pStyle w:val="23"/>
              <w:bidi w:val="0"/>
              <w:rPr>
                <w:rFonts w:hint="default" w:ascii="Times New Roman" w:hAnsi="Times New Roman" w:cs="Times New Roman"/>
                <w:color w:val="auto"/>
              </w:rPr>
            </w:pPr>
            <w:r>
              <w:rPr>
                <w:rFonts w:hint="default" w:ascii="Times New Roman" w:hAnsi="Times New Roman" w:cs="Times New Roman"/>
                <w:color w:val="auto"/>
              </w:rPr>
              <w:t>120</w:t>
            </w:r>
          </w:p>
        </w:tc>
        <w:tc>
          <w:tcPr>
            <w:tcW w:w="944" w:type="dxa"/>
            <w:noWrap w:val="0"/>
            <w:vAlign w:val="center"/>
          </w:tcPr>
          <w:p w14:paraId="5D368F74">
            <w:pPr>
              <w:pStyle w:val="23"/>
              <w:bidi w:val="0"/>
              <w:rPr>
                <w:rFonts w:hint="default" w:ascii="Times New Roman" w:hAnsi="Times New Roman" w:cs="Times New Roman"/>
                <w:color w:val="auto"/>
              </w:rPr>
            </w:pPr>
            <w:r>
              <w:rPr>
                <w:rFonts w:hint="default" w:ascii="Times New Roman" w:hAnsi="Times New Roman" w:cs="Times New Roman"/>
                <w:color w:val="auto"/>
              </w:rPr>
              <w:t>25</w:t>
            </w:r>
          </w:p>
        </w:tc>
        <w:tc>
          <w:tcPr>
            <w:tcW w:w="1487" w:type="dxa"/>
            <w:noWrap w:val="0"/>
            <w:vAlign w:val="center"/>
          </w:tcPr>
          <w:p w14:paraId="4660567C">
            <w:pPr>
              <w:pStyle w:val="23"/>
              <w:bidi w:val="0"/>
              <w:rPr>
                <w:rFonts w:hint="default" w:ascii="Times New Roman" w:hAnsi="Times New Roman" w:cs="Times New Roman"/>
                <w:color w:val="auto"/>
              </w:rPr>
            </w:pPr>
            <w:r>
              <w:rPr>
                <w:rFonts w:hint="default" w:ascii="Times New Roman" w:hAnsi="Times New Roman" w:cs="Times New Roman"/>
                <w:color w:val="auto"/>
              </w:rPr>
              <w:t>14.45</w:t>
            </w:r>
          </w:p>
        </w:tc>
        <w:tc>
          <w:tcPr>
            <w:tcW w:w="1563" w:type="dxa"/>
            <w:noWrap w:val="0"/>
            <w:vAlign w:val="center"/>
          </w:tcPr>
          <w:p w14:paraId="05B13117">
            <w:pPr>
              <w:pStyle w:val="23"/>
              <w:bidi w:val="0"/>
              <w:rPr>
                <w:rFonts w:hint="default" w:ascii="Times New Roman" w:hAnsi="Times New Roman" w:cs="Times New Roman"/>
                <w:color w:val="auto"/>
              </w:rPr>
            </w:pPr>
            <w:r>
              <w:rPr>
                <w:rFonts w:hint="default" w:ascii="Times New Roman" w:hAnsi="Times New Roman" w:cs="Times New Roman"/>
                <w:color w:val="auto"/>
              </w:rPr>
              <w:t>1.0</w:t>
            </w:r>
          </w:p>
        </w:tc>
        <w:tc>
          <w:tcPr>
            <w:tcW w:w="1856" w:type="dxa"/>
            <w:noWrap w:val="0"/>
            <w:vAlign w:val="center"/>
          </w:tcPr>
          <w:p w14:paraId="37DE5752">
            <w:pPr>
              <w:pStyle w:val="23"/>
              <w:bidi w:val="0"/>
              <w:rPr>
                <w:rFonts w:hint="default" w:ascii="Times New Roman" w:hAnsi="Times New Roman" w:cs="Times New Roman"/>
                <w:color w:val="auto"/>
              </w:rPr>
            </w:pPr>
            <w:r>
              <w:rPr>
                <w:rFonts w:hint="default" w:ascii="Times New Roman" w:hAnsi="Times New Roman" w:cs="Times New Roman"/>
                <w:color w:val="auto"/>
              </w:rPr>
              <w:t>《大气污染物综合排放标准》（</w:t>
            </w:r>
            <w:r>
              <w:rPr>
                <w:rFonts w:hint="eastAsia" w:ascii="Times New Roman" w:hAnsi="Times New Roman" w:cs="Times New Roman"/>
                <w:color w:val="auto"/>
                <w:lang w:eastAsia="zh-CN"/>
              </w:rPr>
              <w:t>GB16297—1996</w:t>
            </w:r>
            <w:r>
              <w:rPr>
                <w:rFonts w:hint="default" w:ascii="Times New Roman" w:hAnsi="Times New Roman" w:cs="Times New Roman"/>
                <w:color w:val="auto"/>
              </w:rPr>
              <w:t>）</w:t>
            </w:r>
          </w:p>
        </w:tc>
      </w:tr>
    </w:tbl>
    <w:p w14:paraId="43FFC40C">
      <w:pPr>
        <w:pStyle w:val="3"/>
        <w:bidi w:val="0"/>
        <w:rPr>
          <w:rFonts w:hint="default" w:ascii="Times New Roman" w:hAnsi="Times New Roman" w:cs="Times New Roman"/>
          <w:color w:val="auto"/>
        </w:rPr>
      </w:pPr>
      <w:bookmarkStart w:id="48" w:name="_Toc22675"/>
      <w:r>
        <w:rPr>
          <w:rFonts w:hint="default" w:ascii="Times New Roman" w:hAnsi="Times New Roman" w:cs="Times New Roman"/>
          <w:color w:val="auto"/>
        </w:rPr>
        <w:t>6.3噪声</w:t>
      </w:r>
      <w:bookmarkEnd w:id="48"/>
    </w:p>
    <w:p w14:paraId="27796B79">
      <w:pPr>
        <w:tabs>
          <w:tab w:val="left" w:pos="1980"/>
          <w:tab w:val="left" w:pos="3825"/>
          <w:tab w:val="left" w:pos="4680"/>
        </w:tabs>
        <w:ind w:firstLine="480"/>
        <w:jc w:val="both"/>
        <w:rPr>
          <w:rFonts w:hint="default" w:ascii="Times New Roman" w:hAnsi="Times New Roman" w:cs="Times New Roman"/>
          <w:color w:val="auto"/>
          <w:u w:val="none"/>
        </w:rPr>
      </w:pPr>
      <w:r>
        <w:rPr>
          <w:rFonts w:hint="default" w:ascii="Times New Roman" w:hAnsi="Times New Roman" w:cs="Times New Roman"/>
          <w:color w:val="auto"/>
          <w:u w:val="none"/>
        </w:rPr>
        <w:t>施工期场界环境噪声执行《建筑施工场界环境噪声排放标准》(GB12523－2011)中表1规定的排放限值，具体见表</w:t>
      </w:r>
      <w:r>
        <w:rPr>
          <w:rFonts w:hint="default" w:ascii="Times New Roman" w:hAnsi="Times New Roman" w:cs="Times New Roman"/>
          <w:color w:val="auto"/>
          <w:u w:val="none"/>
          <w:lang w:val="en-US" w:eastAsia="zh-CN"/>
        </w:rPr>
        <w:t>6.</w:t>
      </w:r>
      <w:r>
        <w:rPr>
          <w:rFonts w:hint="eastAsia" w:cs="Times New Roman"/>
          <w:color w:val="auto"/>
          <w:u w:val="none"/>
          <w:lang w:val="en-US" w:eastAsia="zh-CN"/>
        </w:rPr>
        <w:t>3</w:t>
      </w:r>
      <w:r>
        <w:rPr>
          <w:rFonts w:hint="default" w:ascii="Times New Roman" w:hAnsi="Times New Roman" w:cs="Times New Roman"/>
          <w:color w:val="auto"/>
          <w:u w:val="none"/>
          <w:lang w:val="en-US" w:eastAsia="zh-CN"/>
        </w:rPr>
        <w:t>-</w:t>
      </w:r>
      <w:r>
        <w:rPr>
          <w:rFonts w:hint="eastAsia" w:cs="Times New Roman"/>
          <w:color w:val="auto"/>
          <w:u w:val="none"/>
          <w:lang w:val="en-US" w:eastAsia="zh-CN"/>
        </w:rPr>
        <w:t>1</w:t>
      </w:r>
      <w:r>
        <w:rPr>
          <w:rFonts w:hint="default" w:ascii="Times New Roman" w:hAnsi="Times New Roman" w:cs="Times New Roman"/>
          <w:color w:val="auto"/>
          <w:u w:val="none"/>
        </w:rPr>
        <w:t>，夜间噪声最大声级超过限值的幅度不得高于15dB(A)。运营期厂界噪声排放执行《工业企业厂界环境噪声排放标准》（GB12348-2008）中的2类标准，详见表</w:t>
      </w:r>
      <w:r>
        <w:rPr>
          <w:rFonts w:hint="default" w:ascii="Times New Roman" w:hAnsi="Times New Roman" w:cs="Times New Roman"/>
          <w:color w:val="auto"/>
          <w:u w:val="none"/>
          <w:lang w:val="en-US" w:eastAsia="zh-CN"/>
        </w:rPr>
        <w:t>6.</w:t>
      </w:r>
      <w:r>
        <w:rPr>
          <w:rFonts w:hint="eastAsia" w:cs="Times New Roman"/>
          <w:color w:val="auto"/>
          <w:u w:val="none"/>
          <w:lang w:val="en-US" w:eastAsia="zh-CN"/>
        </w:rPr>
        <w:t>3</w:t>
      </w:r>
      <w:r>
        <w:rPr>
          <w:rFonts w:hint="default" w:ascii="Times New Roman" w:hAnsi="Times New Roman" w:cs="Times New Roman"/>
          <w:color w:val="auto"/>
          <w:u w:val="none"/>
        </w:rPr>
        <w:t>-</w:t>
      </w:r>
      <w:r>
        <w:rPr>
          <w:rFonts w:hint="eastAsia" w:cs="Times New Roman"/>
          <w:color w:val="auto"/>
          <w:u w:val="none"/>
          <w:lang w:val="en-US" w:eastAsia="zh-CN"/>
        </w:rPr>
        <w:t>2</w:t>
      </w:r>
      <w:r>
        <w:rPr>
          <w:rFonts w:hint="default" w:ascii="Times New Roman" w:hAnsi="Times New Roman" w:cs="Times New Roman"/>
          <w:color w:val="auto"/>
          <w:u w:val="none"/>
        </w:rPr>
        <w:t>。</w:t>
      </w:r>
    </w:p>
    <w:p w14:paraId="659CDE49">
      <w:pPr>
        <w:pStyle w:val="21"/>
        <w:bidi w:val="0"/>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cs="Times New Roman"/>
          <w:color w:val="auto"/>
          <w:lang w:val="en-US" w:eastAsia="zh-CN"/>
        </w:rPr>
        <w:t>6.</w:t>
      </w:r>
      <w:r>
        <w:rPr>
          <w:rFonts w:hint="eastAsia" w:cs="Times New Roman"/>
          <w:color w:val="auto"/>
          <w:lang w:val="en-US" w:eastAsia="zh-CN"/>
        </w:rPr>
        <w:t>3</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 xml:space="preserve"> 建筑施工场界环境噪声排放限值     单位：dB（A）</w:t>
      </w:r>
    </w:p>
    <w:tbl>
      <w:tblPr>
        <w:tblStyle w:val="14"/>
        <w:tblW w:w="9071" w:type="dxa"/>
        <w:jc w:val="center"/>
        <w:tblLayout w:type="fixed"/>
        <w:tblCellMar>
          <w:top w:w="0" w:type="dxa"/>
          <w:left w:w="108" w:type="dxa"/>
          <w:bottom w:w="0" w:type="dxa"/>
          <w:right w:w="108" w:type="dxa"/>
        </w:tblCellMar>
      </w:tblPr>
      <w:tblGrid>
        <w:gridCol w:w="4535"/>
        <w:gridCol w:w="4536"/>
      </w:tblGrid>
      <w:tr w14:paraId="3AD1D453">
        <w:tblPrEx>
          <w:tblCellMar>
            <w:top w:w="0" w:type="dxa"/>
            <w:left w:w="108" w:type="dxa"/>
            <w:bottom w:w="0" w:type="dxa"/>
            <w:right w:w="108" w:type="dxa"/>
          </w:tblCellMar>
        </w:tblPrEx>
        <w:trPr>
          <w:trHeight w:val="345" w:hRule="atLeast"/>
          <w:jc w:val="center"/>
        </w:trPr>
        <w:tc>
          <w:tcPr>
            <w:tcW w:w="4535" w:type="dxa"/>
            <w:tcBorders>
              <w:top w:val="single" w:color="000000" w:sz="12" w:space="0"/>
              <w:bottom w:val="single" w:color="000000" w:sz="4" w:space="0"/>
              <w:right w:val="single" w:color="000000" w:sz="4" w:space="0"/>
            </w:tcBorders>
            <w:noWrap w:val="0"/>
            <w:vAlign w:val="center"/>
          </w:tcPr>
          <w:p w14:paraId="6B3C0180">
            <w:pPr>
              <w:pStyle w:val="23"/>
              <w:bidi w:val="0"/>
              <w:rPr>
                <w:rFonts w:hint="default" w:ascii="Times New Roman" w:hAnsi="Times New Roman" w:cs="Times New Roman"/>
                <w:color w:val="auto"/>
              </w:rPr>
            </w:pPr>
            <w:r>
              <w:rPr>
                <w:rFonts w:hint="default" w:ascii="Times New Roman" w:hAnsi="Times New Roman" w:cs="Times New Roman"/>
                <w:color w:val="auto"/>
              </w:rPr>
              <w:t>昼间</w:t>
            </w:r>
          </w:p>
        </w:tc>
        <w:tc>
          <w:tcPr>
            <w:tcW w:w="4536" w:type="dxa"/>
            <w:tcBorders>
              <w:top w:val="single" w:color="000000" w:sz="12" w:space="0"/>
              <w:left w:val="single" w:color="000000" w:sz="4" w:space="0"/>
              <w:bottom w:val="single" w:color="000000" w:sz="4" w:space="0"/>
            </w:tcBorders>
            <w:noWrap w:val="0"/>
            <w:vAlign w:val="center"/>
          </w:tcPr>
          <w:p w14:paraId="3C573AE4">
            <w:pPr>
              <w:pStyle w:val="23"/>
              <w:bidi w:val="0"/>
              <w:rPr>
                <w:rFonts w:hint="default" w:ascii="Times New Roman" w:hAnsi="Times New Roman" w:cs="Times New Roman"/>
                <w:color w:val="auto"/>
              </w:rPr>
            </w:pPr>
            <w:r>
              <w:rPr>
                <w:rFonts w:hint="default" w:ascii="Times New Roman" w:hAnsi="Times New Roman" w:cs="Times New Roman"/>
                <w:color w:val="auto"/>
              </w:rPr>
              <w:t>夜间</w:t>
            </w:r>
          </w:p>
        </w:tc>
      </w:tr>
      <w:tr w14:paraId="30A09C07">
        <w:tblPrEx>
          <w:tblCellMar>
            <w:top w:w="0" w:type="dxa"/>
            <w:left w:w="108" w:type="dxa"/>
            <w:bottom w:w="0" w:type="dxa"/>
            <w:right w:w="108" w:type="dxa"/>
          </w:tblCellMar>
        </w:tblPrEx>
        <w:trPr>
          <w:trHeight w:val="340" w:hRule="atLeast"/>
          <w:jc w:val="center"/>
        </w:trPr>
        <w:tc>
          <w:tcPr>
            <w:tcW w:w="4535" w:type="dxa"/>
            <w:tcBorders>
              <w:top w:val="single" w:color="000000" w:sz="4" w:space="0"/>
              <w:bottom w:val="single" w:color="000000" w:sz="4" w:space="0"/>
              <w:right w:val="single" w:color="000000" w:sz="4" w:space="0"/>
            </w:tcBorders>
            <w:noWrap w:val="0"/>
            <w:vAlign w:val="center"/>
          </w:tcPr>
          <w:p w14:paraId="50E52100">
            <w:pPr>
              <w:pStyle w:val="23"/>
              <w:bidi w:val="0"/>
              <w:rPr>
                <w:rFonts w:hint="default" w:ascii="Times New Roman" w:hAnsi="Times New Roman" w:cs="Times New Roman"/>
                <w:color w:val="auto"/>
              </w:rPr>
            </w:pPr>
            <w:r>
              <w:rPr>
                <w:rFonts w:hint="default" w:ascii="Times New Roman" w:hAnsi="Times New Roman" w:cs="Times New Roman"/>
                <w:color w:val="auto"/>
              </w:rPr>
              <w:t>70</w:t>
            </w:r>
          </w:p>
        </w:tc>
        <w:tc>
          <w:tcPr>
            <w:tcW w:w="4536" w:type="dxa"/>
            <w:tcBorders>
              <w:top w:val="single" w:color="000000" w:sz="4" w:space="0"/>
              <w:left w:val="single" w:color="000000" w:sz="4" w:space="0"/>
              <w:bottom w:val="single" w:color="000000" w:sz="4" w:space="0"/>
            </w:tcBorders>
            <w:noWrap w:val="0"/>
            <w:vAlign w:val="center"/>
          </w:tcPr>
          <w:p w14:paraId="452CC73A">
            <w:pPr>
              <w:pStyle w:val="23"/>
              <w:bidi w:val="0"/>
              <w:rPr>
                <w:rFonts w:hint="default" w:ascii="Times New Roman" w:hAnsi="Times New Roman" w:cs="Times New Roman"/>
                <w:color w:val="auto"/>
              </w:rPr>
            </w:pPr>
            <w:r>
              <w:rPr>
                <w:rFonts w:hint="default" w:ascii="Times New Roman" w:hAnsi="Times New Roman" w:cs="Times New Roman"/>
                <w:color w:val="auto"/>
              </w:rPr>
              <w:t>55</w:t>
            </w:r>
          </w:p>
        </w:tc>
      </w:tr>
      <w:tr w14:paraId="6601E199">
        <w:tblPrEx>
          <w:tblCellMar>
            <w:top w:w="0" w:type="dxa"/>
            <w:left w:w="108" w:type="dxa"/>
            <w:bottom w:w="0" w:type="dxa"/>
            <w:right w:w="108" w:type="dxa"/>
          </w:tblCellMar>
        </w:tblPrEx>
        <w:trPr>
          <w:trHeight w:val="340" w:hRule="atLeast"/>
          <w:jc w:val="center"/>
        </w:trPr>
        <w:tc>
          <w:tcPr>
            <w:tcW w:w="9071" w:type="dxa"/>
            <w:gridSpan w:val="2"/>
            <w:tcBorders>
              <w:top w:val="single" w:color="000000" w:sz="4" w:space="0"/>
              <w:bottom w:val="single" w:color="000000" w:sz="12" w:space="0"/>
            </w:tcBorders>
            <w:noWrap w:val="0"/>
            <w:vAlign w:val="center"/>
          </w:tcPr>
          <w:p w14:paraId="5A793A89">
            <w:pPr>
              <w:pStyle w:val="23"/>
              <w:bidi w:val="0"/>
              <w:rPr>
                <w:rFonts w:hint="default" w:ascii="Times New Roman" w:hAnsi="Times New Roman" w:cs="Times New Roman"/>
                <w:color w:val="auto"/>
              </w:rPr>
            </w:pPr>
            <w:r>
              <w:rPr>
                <w:rFonts w:hint="default" w:ascii="Times New Roman" w:hAnsi="Times New Roman" w:cs="Times New Roman"/>
                <w:color w:val="auto"/>
              </w:rPr>
              <w:t>注：夜间噪声最大声级超过限值的幅度不得高于15dB(A)。</w:t>
            </w:r>
          </w:p>
        </w:tc>
      </w:tr>
    </w:tbl>
    <w:p w14:paraId="47A5ABC9">
      <w:pPr>
        <w:pStyle w:val="21"/>
        <w:bidi w:val="0"/>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cs="Times New Roman"/>
          <w:color w:val="auto"/>
          <w:lang w:val="en-US" w:eastAsia="zh-CN"/>
        </w:rPr>
        <w:t>6.</w:t>
      </w:r>
      <w:r>
        <w:rPr>
          <w:rFonts w:hint="eastAsia" w:cs="Times New Roman"/>
          <w:color w:val="auto"/>
          <w:lang w:val="en-US" w:eastAsia="zh-CN"/>
        </w:rPr>
        <w:t>3</w:t>
      </w:r>
      <w:r>
        <w:rPr>
          <w:rFonts w:hint="default" w:ascii="Times New Roman" w:hAnsi="Times New Roman" w:cs="Times New Roman"/>
          <w:color w:val="auto"/>
        </w:rPr>
        <w:t>-</w:t>
      </w:r>
      <w:r>
        <w:rPr>
          <w:rFonts w:hint="eastAsia" w:cs="Times New Roman"/>
          <w:color w:val="auto"/>
          <w:lang w:val="en-US" w:eastAsia="zh-CN"/>
        </w:rPr>
        <w:t>2</w:t>
      </w:r>
      <w:r>
        <w:rPr>
          <w:rFonts w:hint="default" w:ascii="Times New Roman" w:hAnsi="Times New Roman" w:cs="Times New Roman"/>
          <w:color w:val="auto"/>
        </w:rPr>
        <w:t xml:space="preserve"> 工业企业厂界噪声标准值     单位：dB（A）</w:t>
      </w:r>
    </w:p>
    <w:tbl>
      <w:tblPr>
        <w:tblStyle w:val="14"/>
        <w:tblW w:w="9071" w:type="dxa"/>
        <w:jc w:val="center"/>
        <w:tblLayout w:type="fixed"/>
        <w:tblCellMar>
          <w:top w:w="0" w:type="dxa"/>
          <w:left w:w="108" w:type="dxa"/>
          <w:bottom w:w="0" w:type="dxa"/>
          <w:right w:w="108" w:type="dxa"/>
        </w:tblCellMar>
      </w:tblPr>
      <w:tblGrid>
        <w:gridCol w:w="3024"/>
        <w:gridCol w:w="3024"/>
        <w:gridCol w:w="3023"/>
      </w:tblGrid>
      <w:tr w14:paraId="65F5DB2A">
        <w:tblPrEx>
          <w:tblCellMar>
            <w:top w:w="0" w:type="dxa"/>
            <w:left w:w="108" w:type="dxa"/>
            <w:bottom w:w="0" w:type="dxa"/>
            <w:right w:w="108" w:type="dxa"/>
          </w:tblCellMar>
        </w:tblPrEx>
        <w:trPr>
          <w:cantSplit/>
          <w:trHeight w:val="340" w:hRule="atLeast"/>
          <w:jc w:val="center"/>
        </w:trPr>
        <w:tc>
          <w:tcPr>
            <w:tcW w:w="3024" w:type="dxa"/>
            <w:tcBorders>
              <w:top w:val="single" w:color="000000" w:sz="12" w:space="0"/>
              <w:bottom w:val="single" w:color="000000" w:sz="4" w:space="0"/>
              <w:right w:val="single" w:color="000000" w:sz="4" w:space="0"/>
            </w:tcBorders>
            <w:noWrap w:val="0"/>
            <w:vAlign w:val="center"/>
          </w:tcPr>
          <w:p w14:paraId="5E1D7E4B">
            <w:pPr>
              <w:pStyle w:val="23"/>
              <w:bidi w:val="0"/>
              <w:rPr>
                <w:rFonts w:hint="default" w:ascii="Times New Roman" w:hAnsi="Times New Roman" w:cs="Times New Roman"/>
                <w:color w:val="auto"/>
              </w:rPr>
            </w:pPr>
            <w:r>
              <w:rPr>
                <w:rFonts w:hint="default" w:ascii="Times New Roman" w:hAnsi="Times New Roman" w:cs="Times New Roman"/>
                <w:color w:val="auto"/>
              </w:rPr>
              <w:t>类别</w:t>
            </w:r>
          </w:p>
        </w:tc>
        <w:tc>
          <w:tcPr>
            <w:tcW w:w="3024" w:type="dxa"/>
            <w:tcBorders>
              <w:top w:val="single" w:color="000000" w:sz="12" w:space="0"/>
              <w:left w:val="single" w:color="000000" w:sz="4" w:space="0"/>
              <w:bottom w:val="single" w:color="000000" w:sz="4" w:space="0"/>
              <w:right w:val="single" w:color="000000" w:sz="4" w:space="0"/>
            </w:tcBorders>
            <w:noWrap w:val="0"/>
            <w:vAlign w:val="center"/>
          </w:tcPr>
          <w:p w14:paraId="424CB924">
            <w:pPr>
              <w:pStyle w:val="23"/>
              <w:bidi w:val="0"/>
              <w:rPr>
                <w:rFonts w:hint="default" w:ascii="Times New Roman" w:hAnsi="Times New Roman" w:cs="Times New Roman"/>
                <w:color w:val="auto"/>
              </w:rPr>
            </w:pPr>
            <w:r>
              <w:rPr>
                <w:rFonts w:hint="default" w:ascii="Times New Roman" w:hAnsi="Times New Roman" w:cs="Times New Roman"/>
                <w:color w:val="auto"/>
              </w:rPr>
              <w:t>昼间</w:t>
            </w:r>
          </w:p>
        </w:tc>
        <w:tc>
          <w:tcPr>
            <w:tcW w:w="3023" w:type="dxa"/>
            <w:tcBorders>
              <w:top w:val="single" w:color="000000" w:sz="12" w:space="0"/>
              <w:left w:val="single" w:color="000000" w:sz="4" w:space="0"/>
              <w:bottom w:val="single" w:color="000000" w:sz="4" w:space="0"/>
            </w:tcBorders>
            <w:noWrap w:val="0"/>
            <w:vAlign w:val="center"/>
          </w:tcPr>
          <w:p w14:paraId="404F0F75">
            <w:pPr>
              <w:pStyle w:val="23"/>
              <w:bidi w:val="0"/>
              <w:rPr>
                <w:rFonts w:hint="default" w:ascii="Times New Roman" w:hAnsi="Times New Roman" w:cs="Times New Roman"/>
                <w:color w:val="auto"/>
              </w:rPr>
            </w:pPr>
            <w:r>
              <w:rPr>
                <w:rFonts w:hint="default" w:ascii="Times New Roman" w:hAnsi="Times New Roman" w:cs="Times New Roman"/>
                <w:color w:val="auto"/>
              </w:rPr>
              <w:t>夜间</w:t>
            </w:r>
          </w:p>
        </w:tc>
      </w:tr>
      <w:tr w14:paraId="7EDDE79C">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12" w:space="0"/>
              <w:right w:val="single" w:color="000000" w:sz="4" w:space="0"/>
            </w:tcBorders>
            <w:noWrap w:val="0"/>
            <w:vAlign w:val="center"/>
          </w:tcPr>
          <w:p w14:paraId="23FE76AD">
            <w:pPr>
              <w:pStyle w:val="23"/>
              <w:bidi w:val="0"/>
              <w:rPr>
                <w:rFonts w:hint="default" w:ascii="Times New Roman" w:hAnsi="Times New Roman" w:cs="Times New Roman"/>
                <w:color w:val="auto"/>
              </w:rPr>
            </w:pPr>
            <w:r>
              <w:rPr>
                <w:rFonts w:hint="default" w:ascii="Times New Roman" w:hAnsi="Times New Roman" w:cs="Times New Roman"/>
                <w:color w:val="auto"/>
              </w:rPr>
              <w:t>2类</w:t>
            </w:r>
          </w:p>
        </w:tc>
        <w:tc>
          <w:tcPr>
            <w:tcW w:w="3024" w:type="dxa"/>
            <w:tcBorders>
              <w:top w:val="single" w:color="000000" w:sz="4" w:space="0"/>
              <w:left w:val="single" w:color="000000" w:sz="4" w:space="0"/>
              <w:bottom w:val="single" w:color="000000" w:sz="12" w:space="0"/>
              <w:right w:val="single" w:color="000000" w:sz="4" w:space="0"/>
            </w:tcBorders>
            <w:noWrap w:val="0"/>
            <w:vAlign w:val="center"/>
          </w:tcPr>
          <w:p w14:paraId="2F5ECF12">
            <w:pPr>
              <w:pStyle w:val="23"/>
              <w:bidi w:val="0"/>
              <w:rPr>
                <w:rFonts w:hint="default" w:ascii="Times New Roman" w:hAnsi="Times New Roman" w:cs="Times New Roman"/>
                <w:color w:val="auto"/>
              </w:rPr>
            </w:pPr>
            <w:r>
              <w:rPr>
                <w:rFonts w:hint="default" w:ascii="Times New Roman" w:hAnsi="Times New Roman" w:cs="Times New Roman"/>
                <w:color w:val="auto"/>
              </w:rPr>
              <w:t>60</w:t>
            </w:r>
          </w:p>
        </w:tc>
        <w:tc>
          <w:tcPr>
            <w:tcW w:w="3023" w:type="dxa"/>
            <w:tcBorders>
              <w:top w:val="single" w:color="000000" w:sz="4" w:space="0"/>
              <w:left w:val="single" w:color="000000" w:sz="4" w:space="0"/>
              <w:bottom w:val="single" w:color="000000" w:sz="12" w:space="0"/>
            </w:tcBorders>
            <w:noWrap w:val="0"/>
            <w:vAlign w:val="center"/>
          </w:tcPr>
          <w:p w14:paraId="5B0D365A">
            <w:pPr>
              <w:pStyle w:val="23"/>
              <w:bidi w:val="0"/>
              <w:rPr>
                <w:rFonts w:hint="default" w:ascii="Times New Roman" w:hAnsi="Times New Roman" w:cs="Times New Roman"/>
                <w:color w:val="auto"/>
              </w:rPr>
            </w:pPr>
            <w:r>
              <w:rPr>
                <w:rFonts w:hint="default" w:ascii="Times New Roman" w:hAnsi="Times New Roman" w:cs="Times New Roman"/>
                <w:color w:val="auto"/>
              </w:rPr>
              <w:t>50</w:t>
            </w:r>
          </w:p>
        </w:tc>
      </w:tr>
    </w:tbl>
    <w:p w14:paraId="56958408">
      <w:pPr>
        <w:pStyle w:val="3"/>
        <w:bidi w:val="0"/>
        <w:rPr>
          <w:rFonts w:hint="default" w:ascii="Times New Roman" w:hAnsi="Times New Roman" w:cs="Times New Roman"/>
          <w:color w:val="auto"/>
          <w:lang w:val="en-US"/>
        </w:rPr>
      </w:pPr>
      <w:bookmarkStart w:id="49" w:name="_Toc23515"/>
      <w:r>
        <w:rPr>
          <w:rFonts w:hint="default" w:ascii="Times New Roman" w:hAnsi="Times New Roman" w:cs="Times New Roman"/>
          <w:color w:val="auto"/>
          <w:lang w:val="en-US" w:eastAsia="zh-CN"/>
        </w:rPr>
        <w:t>6.4固体废物</w:t>
      </w:r>
      <w:bookmarkEnd w:id="49"/>
    </w:p>
    <w:p w14:paraId="733A89D4">
      <w:pPr>
        <w:spacing w:line="360" w:lineRule="auto"/>
        <w:ind w:firstLine="480"/>
        <w:rPr>
          <w:rFonts w:hint="eastAsia" w:cs="Times New Roman"/>
          <w:color w:val="auto"/>
          <w:lang w:eastAsia="zh-CN"/>
        </w:rPr>
      </w:pPr>
      <w:r>
        <w:rPr>
          <w:rFonts w:hint="eastAsia" w:cs="Times New Roman"/>
          <w:b w:val="0"/>
          <w:bCs w:val="0"/>
          <w:snapToGrid w:val="0"/>
          <w:color w:val="auto"/>
          <w:kern w:val="0"/>
          <w:sz w:val="24"/>
          <w:szCs w:val="24"/>
          <w:lang w:val="en-US" w:eastAsia="zh-CN" w:bidi="ar"/>
        </w:rPr>
        <w:t>根据</w:t>
      </w:r>
      <w:r>
        <w:rPr>
          <w:rFonts w:hint="default" w:ascii="Times New Roman" w:hAnsi="Times New Roman" w:eastAsia="宋体" w:cs="Times New Roman"/>
          <w:b w:val="0"/>
          <w:bCs w:val="0"/>
          <w:snapToGrid w:val="0"/>
          <w:color w:val="auto"/>
          <w:kern w:val="0"/>
          <w:sz w:val="24"/>
          <w:szCs w:val="24"/>
          <w:lang w:val="en-US" w:eastAsia="zh-CN" w:bidi="ar"/>
        </w:rPr>
        <w:t>《关于福州市红庙岭垃圾焚烧发电厂飞灰稳定化预处理扩建工程</w:t>
      </w:r>
      <w:r>
        <w:rPr>
          <w:rFonts w:hint="default" w:ascii="Times New Roman" w:hAnsi="Times New Roman" w:eastAsia="TimesNewRomanPSMT" w:cs="Times New Roman"/>
          <w:b w:val="0"/>
          <w:bCs w:val="0"/>
          <w:snapToGrid w:val="0"/>
          <w:color w:val="auto"/>
          <w:kern w:val="0"/>
          <w:sz w:val="24"/>
          <w:szCs w:val="24"/>
          <w:lang w:val="en-US" w:eastAsia="zh-CN" w:bidi="ar"/>
        </w:rPr>
        <w:t>BOT</w:t>
      </w:r>
      <w:r>
        <w:rPr>
          <w:rFonts w:hint="default" w:ascii="Times New Roman" w:hAnsi="Times New Roman" w:eastAsia="宋体" w:cs="Times New Roman"/>
          <w:b w:val="0"/>
          <w:bCs w:val="0"/>
          <w:snapToGrid w:val="0"/>
          <w:color w:val="auto"/>
          <w:kern w:val="0"/>
          <w:sz w:val="24"/>
          <w:szCs w:val="24"/>
          <w:lang w:val="en-US" w:eastAsia="zh-CN" w:bidi="ar"/>
        </w:rPr>
        <w:t>项目（二期）环境影响报告书的审批意见》</w:t>
      </w:r>
      <w:r>
        <w:rPr>
          <w:rFonts w:hint="default" w:ascii="Times New Roman" w:hAnsi="Times New Roman" w:cs="Times New Roman"/>
          <w:b w:val="0"/>
          <w:bCs w:val="0"/>
          <w:snapToGrid w:val="0"/>
          <w:color w:val="auto"/>
          <w:kern w:val="0"/>
          <w:sz w:val="24"/>
          <w:szCs w:val="24"/>
          <w:lang w:val="en-US" w:eastAsia="zh-CN" w:bidi="ar"/>
        </w:rPr>
        <w:t>榕环评〔2022〕7号</w:t>
      </w:r>
      <w:r>
        <w:rPr>
          <w:rFonts w:hint="default" w:ascii="Times New Roman" w:hAnsi="Times New Roman" w:eastAsia="宋体" w:cs="Times New Roman"/>
          <w:b w:val="0"/>
          <w:bCs w:val="0"/>
          <w:snapToGrid w:val="0"/>
          <w:color w:val="auto"/>
          <w:kern w:val="0"/>
          <w:sz w:val="24"/>
          <w:szCs w:val="24"/>
          <w:lang w:val="en-US" w:eastAsia="zh-CN" w:bidi="ar"/>
        </w:rPr>
        <w:t>（福州市生态环境局，</w:t>
      </w:r>
      <w:r>
        <w:rPr>
          <w:rFonts w:hint="default" w:ascii="Times New Roman" w:hAnsi="Times New Roman" w:eastAsia="TimesNewRomanPSMT" w:cs="Times New Roman"/>
          <w:b w:val="0"/>
          <w:bCs w:val="0"/>
          <w:snapToGrid w:val="0"/>
          <w:color w:val="auto"/>
          <w:kern w:val="0"/>
          <w:sz w:val="24"/>
          <w:szCs w:val="24"/>
          <w:lang w:val="en-US" w:eastAsia="zh-CN" w:bidi="ar"/>
        </w:rPr>
        <w:t>2022</w:t>
      </w:r>
      <w:r>
        <w:rPr>
          <w:rFonts w:hint="default" w:ascii="Times New Roman" w:hAnsi="Times New Roman" w:eastAsia="宋体" w:cs="Times New Roman"/>
          <w:b w:val="0"/>
          <w:bCs w:val="0"/>
          <w:snapToGrid w:val="0"/>
          <w:color w:val="auto"/>
          <w:kern w:val="0"/>
          <w:sz w:val="24"/>
          <w:szCs w:val="24"/>
          <w:lang w:val="en-US" w:eastAsia="zh-CN" w:bidi="ar"/>
        </w:rPr>
        <w:t>年</w:t>
      </w:r>
      <w:r>
        <w:rPr>
          <w:rFonts w:hint="default" w:ascii="Times New Roman" w:hAnsi="Times New Roman" w:eastAsia="TimesNewRomanPSMT" w:cs="Times New Roman"/>
          <w:b w:val="0"/>
          <w:bCs w:val="0"/>
          <w:snapToGrid w:val="0"/>
          <w:color w:val="auto"/>
          <w:kern w:val="0"/>
          <w:sz w:val="24"/>
          <w:szCs w:val="24"/>
          <w:lang w:val="en-US" w:eastAsia="zh-CN" w:bidi="ar"/>
        </w:rPr>
        <w:t>3</w:t>
      </w:r>
      <w:r>
        <w:rPr>
          <w:rFonts w:hint="default" w:ascii="Times New Roman" w:hAnsi="Times New Roman" w:eastAsia="宋体" w:cs="Times New Roman"/>
          <w:b w:val="0"/>
          <w:bCs w:val="0"/>
          <w:snapToGrid w:val="0"/>
          <w:color w:val="auto"/>
          <w:kern w:val="0"/>
          <w:sz w:val="24"/>
          <w:szCs w:val="24"/>
          <w:lang w:val="en-US" w:eastAsia="zh-CN" w:bidi="ar"/>
        </w:rPr>
        <w:t>月</w:t>
      </w:r>
      <w:r>
        <w:rPr>
          <w:rFonts w:hint="default" w:ascii="Times New Roman" w:hAnsi="Times New Roman" w:eastAsia="TimesNewRomanPSMT" w:cs="Times New Roman"/>
          <w:b w:val="0"/>
          <w:bCs w:val="0"/>
          <w:snapToGrid w:val="0"/>
          <w:color w:val="auto"/>
          <w:kern w:val="0"/>
          <w:sz w:val="24"/>
          <w:szCs w:val="24"/>
          <w:lang w:val="en-US" w:eastAsia="zh-CN" w:bidi="ar"/>
        </w:rPr>
        <w:t>11</w:t>
      </w:r>
      <w:r>
        <w:rPr>
          <w:rFonts w:hint="default" w:ascii="Times New Roman" w:hAnsi="Times New Roman" w:eastAsia="宋体" w:cs="Times New Roman"/>
          <w:b w:val="0"/>
          <w:bCs w:val="0"/>
          <w:snapToGrid w:val="0"/>
          <w:color w:val="auto"/>
          <w:kern w:val="0"/>
          <w:sz w:val="24"/>
          <w:szCs w:val="24"/>
          <w:lang w:val="en-US" w:eastAsia="zh-CN" w:bidi="ar"/>
        </w:rPr>
        <w:t>日）</w:t>
      </w:r>
      <w:r>
        <w:rPr>
          <w:rFonts w:hint="eastAsia" w:cs="Times New Roman"/>
          <w:b w:val="0"/>
          <w:bCs w:val="0"/>
          <w:snapToGrid w:val="0"/>
          <w:color w:val="auto"/>
          <w:kern w:val="0"/>
          <w:sz w:val="24"/>
          <w:szCs w:val="24"/>
          <w:lang w:val="en-US" w:eastAsia="zh-CN" w:bidi="ar"/>
        </w:rPr>
        <w:t>，</w:t>
      </w:r>
      <w:r>
        <w:rPr>
          <w:rFonts w:hint="default" w:ascii="Times New Roman" w:hAnsi="Times New Roman" w:cs="Times New Roman"/>
          <w:color w:val="auto"/>
          <w:kern w:val="1"/>
          <w:u w:val="none"/>
        </w:rPr>
        <w:t>一般工业固体废物的贮存执行《一般工业固</w:t>
      </w:r>
      <w:r>
        <w:rPr>
          <w:rFonts w:hint="default" w:ascii="Times New Roman" w:hAnsi="Times New Roman" w:cs="Times New Roman"/>
          <w:color w:val="auto"/>
          <w:kern w:val="1"/>
          <w:highlight w:val="none"/>
          <w:u w:val="none"/>
        </w:rPr>
        <w:t>体废物贮存和填埋污染控制标准》（GB18599-2020）</w:t>
      </w:r>
      <w:r>
        <w:rPr>
          <w:rFonts w:hint="default" w:ascii="Times New Roman" w:hAnsi="Times New Roman" w:cs="Times New Roman"/>
          <w:color w:val="auto"/>
          <w:kern w:val="1"/>
          <w:highlight w:val="none"/>
          <w:u w:val="none"/>
          <w:lang w:val="en-US" w:eastAsia="zh-CN"/>
        </w:rPr>
        <w:t>要求</w:t>
      </w:r>
      <w:r>
        <w:rPr>
          <w:rFonts w:hint="default" w:ascii="Times New Roman" w:hAnsi="Times New Roman" w:cs="Times New Roman"/>
          <w:color w:val="auto"/>
          <w:kern w:val="1"/>
          <w:highlight w:val="none"/>
          <w:u w:val="none"/>
        </w:rPr>
        <w:t>；危险废物的贮存执行《危险废物贮存污染控制标准》（GB18597-20</w:t>
      </w:r>
      <w:r>
        <w:rPr>
          <w:rFonts w:hint="eastAsia" w:cs="Times New Roman"/>
          <w:color w:val="auto"/>
          <w:kern w:val="1"/>
          <w:highlight w:val="none"/>
          <w:u w:val="none"/>
          <w:lang w:val="en-US" w:eastAsia="zh-CN"/>
        </w:rPr>
        <w:t>01</w:t>
      </w:r>
      <w:r>
        <w:rPr>
          <w:rFonts w:hint="default" w:ascii="Times New Roman" w:hAnsi="Times New Roman" w:cs="Times New Roman"/>
          <w:color w:val="auto"/>
          <w:kern w:val="1"/>
          <w:highlight w:val="none"/>
          <w:u w:val="none"/>
        </w:rPr>
        <w:t>）</w:t>
      </w:r>
      <w:r>
        <w:rPr>
          <w:rFonts w:hint="eastAsia" w:cs="Times New Roman"/>
          <w:color w:val="auto"/>
          <w:kern w:val="1"/>
          <w:highlight w:val="none"/>
          <w:u w:val="none"/>
          <w:lang w:val="en-US" w:eastAsia="zh-CN"/>
        </w:rPr>
        <w:t>及其修改单规定</w:t>
      </w:r>
      <w:r>
        <w:rPr>
          <w:rFonts w:hint="default" w:ascii="Times New Roman" w:hAnsi="Times New Roman" w:cs="Times New Roman"/>
          <w:color w:val="auto"/>
          <w:kern w:val="1"/>
          <w:highlight w:val="none"/>
          <w:u w:val="none"/>
          <w:lang w:val="en-US" w:eastAsia="zh-CN"/>
        </w:rPr>
        <w:t>要求</w:t>
      </w:r>
      <w:r>
        <w:rPr>
          <w:rFonts w:hint="default" w:ascii="Times New Roman" w:hAnsi="Times New Roman" w:cs="Times New Roman"/>
          <w:color w:val="auto"/>
          <w:kern w:val="1"/>
          <w:highlight w:val="none"/>
          <w:u w:val="none"/>
        </w:rPr>
        <w:t>；经处理后的飞灰满足《生活垃圾填埋场污染控制标准》（</w:t>
      </w:r>
      <w:r>
        <w:rPr>
          <w:rFonts w:hint="default" w:ascii="Times New Roman" w:hAnsi="Times New Roman" w:cs="Times New Roman"/>
          <w:color w:val="auto"/>
          <w:kern w:val="1"/>
          <w:highlight w:val="none"/>
          <w:u w:val="none"/>
          <w:lang w:eastAsia="zh-CN"/>
        </w:rPr>
        <w:t>GB16889-20</w:t>
      </w:r>
      <w:r>
        <w:rPr>
          <w:rFonts w:hint="eastAsia" w:cs="Times New Roman"/>
          <w:color w:val="auto"/>
          <w:kern w:val="1"/>
          <w:highlight w:val="none"/>
          <w:u w:val="none"/>
          <w:lang w:val="en-US" w:eastAsia="zh-CN"/>
        </w:rPr>
        <w:t>08</w:t>
      </w:r>
      <w:r>
        <w:rPr>
          <w:rFonts w:hint="default" w:ascii="Times New Roman" w:hAnsi="Times New Roman" w:cs="Times New Roman"/>
          <w:color w:val="auto"/>
          <w:kern w:val="1"/>
          <w:highlight w:val="none"/>
          <w:u w:val="none"/>
        </w:rPr>
        <w:t>）的要求</w:t>
      </w:r>
      <w:r>
        <w:rPr>
          <w:rFonts w:hint="eastAsia" w:cs="Times New Roman"/>
          <w:color w:val="auto"/>
          <w:kern w:val="1"/>
          <w:highlight w:val="none"/>
          <w:u w:val="none"/>
          <w:lang w:eastAsia="zh-CN"/>
        </w:rPr>
        <w:t>。</w:t>
      </w:r>
      <w:r>
        <w:rPr>
          <w:rFonts w:hint="eastAsia" w:cs="Times New Roman"/>
          <w:color w:val="auto"/>
          <w:kern w:val="1"/>
          <w:highlight w:val="none"/>
          <w:u w:val="none"/>
          <w:lang w:val="en-US" w:eastAsia="zh-CN"/>
        </w:rPr>
        <w:t>根据</w:t>
      </w:r>
      <w:r>
        <w:rPr>
          <w:rFonts w:hint="default" w:ascii="Times New Roman" w:hAnsi="Times New Roman" w:eastAsia="宋体" w:cs="Times New Roman"/>
          <w:b w:val="0"/>
          <w:bCs w:val="0"/>
          <w:snapToGrid w:val="0"/>
          <w:color w:val="auto"/>
          <w:kern w:val="0"/>
          <w:sz w:val="24"/>
          <w:szCs w:val="24"/>
          <w:lang w:val="en-US" w:eastAsia="zh-CN" w:bidi="ar"/>
        </w:rPr>
        <w:t>《建设项目竣工环境保护验收技术指南污染影响类》</w:t>
      </w:r>
      <w:r>
        <w:rPr>
          <w:rFonts w:hint="eastAsia" w:cs="Times New Roman"/>
          <w:b w:val="0"/>
          <w:bCs w:val="0"/>
          <w:snapToGrid w:val="0"/>
          <w:color w:val="auto"/>
          <w:kern w:val="0"/>
          <w:sz w:val="24"/>
          <w:szCs w:val="24"/>
          <w:lang w:val="en-US" w:eastAsia="zh-CN" w:bidi="ar"/>
        </w:rPr>
        <w:t>，建设项目竣工环境保护验收污染物排放标准原则上执行环境影响报告书（表）及其审批部门审批决定所规定的标准。</w:t>
      </w:r>
      <w:r>
        <w:rPr>
          <w:rFonts w:hint="eastAsia" w:cs="Times New Roman"/>
          <w:b w:val="0"/>
          <w:bCs w:val="0"/>
          <w:snapToGrid w:val="0"/>
          <w:color w:val="auto"/>
          <w:kern w:val="0"/>
          <w:sz w:val="24"/>
          <w:szCs w:val="24"/>
          <w:lang w:val="en-US" w:eastAsia="zh-CN" w:bidi="ar"/>
        </w:rPr>
        <w:t>在环境影响报告书（表）审批之后发布或修订的标准对建设项目执行该标准有明确时限要求的，按新发布或修订的标准执行</w:t>
      </w:r>
      <w:r>
        <w:rPr>
          <w:rFonts w:hint="eastAsia" w:cs="Times New Roman"/>
          <w:b w:val="0"/>
          <w:bCs w:val="0"/>
          <w:snapToGrid w:val="0"/>
          <w:color w:val="auto"/>
          <w:kern w:val="0"/>
          <w:sz w:val="24"/>
          <w:szCs w:val="24"/>
          <w:lang w:val="en-US" w:eastAsia="zh-CN" w:bidi="ar"/>
        </w:rPr>
        <w:t>。故</w:t>
      </w:r>
      <w:r>
        <w:rPr>
          <w:rFonts w:hint="default" w:ascii="Times New Roman" w:hAnsi="Times New Roman" w:cs="Times New Roman"/>
          <w:color w:val="auto"/>
          <w:kern w:val="1"/>
          <w:u w:val="none"/>
        </w:rPr>
        <w:t>一般工业固体废物的贮存执行《一般工业固</w:t>
      </w:r>
      <w:r>
        <w:rPr>
          <w:rFonts w:hint="default" w:ascii="Times New Roman" w:hAnsi="Times New Roman" w:cs="Times New Roman"/>
          <w:color w:val="auto"/>
          <w:kern w:val="1"/>
          <w:highlight w:val="none"/>
          <w:u w:val="none"/>
        </w:rPr>
        <w:t>体废物贮存和填埋污染控制标准》（GB18599-2020）</w:t>
      </w:r>
      <w:r>
        <w:rPr>
          <w:rFonts w:hint="default" w:ascii="Times New Roman" w:hAnsi="Times New Roman" w:cs="Times New Roman"/>
          <w:color w:val="auto"/>
          <w:kern w:val="1"/>
          <w:highlight w:val="none"/>
          <w:u w:val="none"/>
          <w:lang w:val="en-US" w:eastAsia="zh-CN"/>
        </w:rPr>
        <w:t>要求</w:t>
      </w:r>
      <w:r>
        <w:rPr>
          <w:rFonts w:hint="default" w:ascii="Times New Roman" w:hAnsi="Times New Roman" w:cs="Times New Roman"/>
          <w:color w:val="auto"/>
          <w:kern w:val="1"/>
          <w:highlight w:val="none"/>
          <w:u w:val="none"/>
        </w:rPr>
        <w:t>；危险废物的贮存执行《危险废物贮存污染控制标准》（GB18597-20</w:t>
      </w:r>
      <w:r>
        <w:rPr>
          <w:rFonts w:hint="default" w:ascii="Times New Roman" w:hAnsi="Times New Roman" w:cs="Times New Roman"/>
          <w:color w:val="auto"/>
          <w:kern w:val="1"/>
          <w:highlight w:val="none"/>
          <w:u w:val="none"/>
          <w:lang w:val="en-US" w:eastAsia="zh-CN"/>
        </w:rPr>
        <w:t>23</w:t>
      </w:r>
      <w:r>
        <w:rPr>
          <w:rFonts w:hint="default" w:ascii="Times New Roman" w:hAnsi="Times New Roman" w:cs="Times New Roman"/>
          <w:color w:val="auto"/>
          <w:kern w:val="1"/>
          <w:highlight w:val="none"/>
          <w:u w:val="none"/>
        </w:rPr>
        <w:t>）</w:t>
      </w:r>
      <w:r>
        <w:rPr>
          <w:rFonts w:hint="default" w:ascii="Times New Roman" w:hAnsi="Times New Roman" w:cs="Times New Roman"/>
          <w:color w:val="auto"/>
          <w:kern w:val="1"/>
          <w:highlight w:val="none"/>
          <w:u w:val="none"/>
          <w:lang w:val="en-US" w:eastAsia="zh-CN"/>
        </w:rPr>
        <w:t>要求</w:t>
      </w:r>
      <w:r>
        <w:rPr>
          <w:rFonts w:hint="default" w:ascii="Times New Roman" w:hAnsi="Times New Roman" w:cs="Times New Roman"/>
          <w:color w:val="auto"/>
          <w:kern w:val="1"/>
          <w:highlight w:val="none"/>
          <w:u w:val="none"/>
        </w:rPr>
        <w:t>；</w:t>
      </w:r>
      <w:r>
        <w:rPr>
          <w:rFonts w:hint="eastAsia" w:cs="Times New Roman"/>
          <w:color w:val="auto"/>
          <w:lang w:val="en-US" w:eastAsia="zh-CN"/>
        </w:rPr>
        <w:t>飞灰处理过程还应满足</w:t>
      </w:r>
      <w:r>
        <w:rPr>
          <w:rFonts w:hint="default" w:ascii="Times New Roman" w:hAnsi="Times New Roman" w:cs="Times New Roman"/>
          <w:color w:val="auto"/>
        </w:rPr>
        <w:t>《生活垃圾焚烧飞灰固化稳定化处理技术标准》</w:t>
      </w:r>
      <w:r>
        <w:rPr>
          <w:rFonts w:hint="default" w:ascii="Times New Roman" w:hAnsi="Times New Roman" w:cs="Times New Roman"/>
          <w:color w:val="auto"/>
          <w:lang w:eastAsia="zh-CN"/>
        </w:rPr>
        <w:t>（CJJ/T316-2023）（自2024年1月1日起实施）</w:t>
      </w:r>
      <w:r>
        <w:rPr>
          <w:rFonts w:hint="eastAsia" w:cs="Times New Roman"/>
          <w:color w:val="auto"/>
          <w:lang w:eastAsia="zh-CN"/>
        </w:rPr>
        <w:t>的</w:t>
      </w:r>
      <w:r>
        <w:rPr>
          <w:rFonts w:hint="eastAsia" w:cs="Times New Roman"/>
          <w:color w:val="auto"/>
          <w:lang w:val="en-US" w:eastAsia="zh-CN"/>
        </w:rPr>
        <w:t>要求</w:t>
      </w:r>
      <w:r>
        <w:rPr>
          <w:rFonts w:hint="eastAsia" w:cs="Times New Roman"/>
          <w:color w:val="auto"/>
          <w:lang w:eastAsia="zh-CN"/>
        </w:rPr>
        <w:t>。</w:t>
      </w:r>
    </w:p>
    <w:p w14:paraId="78AFD55E">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highlight w:val="none"/>
          <w:u w:val="none"/>
        </w:rPr>
        <w:t>经处理后的飞灰满足《生活垃圾填埋场污染控制标准》（</w:t>
      </w:r>
      <w:r>
        <w:rPr>
          <w:rFonts w:hint="default" w:ascii="Times New Roman" w:hAnsi="Times New Roman" w:cs="Times New Roman"/>
          <w:color w:val="auto"/>
          <w:kern w:val="1"/>
          <w:highlight w:val="none"/>
          <w:u w:val="none"/>
          <w:lang w:eastAsia="zh-CN"/>
        </w:rPr>
        <w:t>GB16889-2024</w:t>
      </w:r>
      <w:r>
        <w:rPr>
          <w:rFonts w:hint="default" w:ascii="Times New Roman" w:hAnsi="Times New Roman" w:cs="Times New Roman"/>
          <w:color w:val="auto"/>
          <w:kern w:val="1"/>
          <w:highlight w:val="none"/>
          <w:u w:val="none"/>
        </w:rPr>
        <w:t>）的要求。</w:t>
      </w:r>
      <w:r>
        <w:rPr>
          <w:rFonts w:hint="default" w:ascii="Times New Roman" w:hAnsi="Times New Roman" w:cs="Times New Roman"/>
          <w:color w:val="auto"/>
          <w:kern w:val="1"/>
          <w:u w:val="none"/>
        </w:rPr>
        <w:t>满足进入生活垃圾填埋场的具体条件如下：</w:t>
      </w:r>
      <w:r>
        <w:rPr>
          <w:rFonts w:hint="default" w:ascii="Times New Roman" w:hAnsi="Times New Roman" w:cs="Times New Roman"/>
          <w:color w:val="auto"/>
          <w:kern w:val="1"/>
          <w:u w:val="none"/>
          <w:lang w:val="en-US" w:eastAsia="zh-CN"/>
        </w:rPr>
        <w:t>①</w:t>
      </w:r>
      <w:r>
        <w:rPr>
          <w:rFonts w:hint="default" w:ascii="Times New Roman" w:hAnsi="Times New Roman" w:cs="Times New Roman"/>
          <w:color w:val="auto"/>
          <w:kern w:val="1"/>
          <w:u w:val="none"/>
        </w:rPr>
        <w:t>二噁英含量低于3μgTEQ/kg；</w:t>
      </w:r>
      <w:r>
        <w:rPr>
          <w:rFonts w:hint="default" w:ascii="Times New Roman" w:hAnsi="Times New Roman" w:cs="Times New Roman"/>
          <w:color w:val="auto"/>
          <w:kern w:val="1"/>
          <w:u w:val="none"/>
          <w:lang w:val="en-US" w:eastAsia="zh-CN"/>
        </w:rPr>
        <w:t>②</w:t>
      </w:r>
      <w:r>
        <w:rPr>
          <w:rFonts w:hint="default" w:ascii="Times New Roman" w:hAnsi="Times New Roman" w:cs="Times New Roman"/>
          <w:color w:val="auto"/>
          <w:kern w:val="1"/>
          <w:u w:val="none"/>
        </w:rPr>
        <w:t>按照HJ/T300制备的浸出液中危害成分浓度低于表</w:t>
      </w:r>
      <w:r>
        <w:rPr>
          <w:rFonts w:hint="default" w:ascii="Times New Roman" w:hAnsi="Times New Roman" w:cs="Times New Roman"/>
          <w:color w:val="auto"/>
          <w:kern w:val="1"/>
          <w:u w:val="none"/>
          <w:lang w:val="en-US" w:eastAsia="zh-CN"/>
        </w:rPr>
        <w:t>6.</w:t>
      </w:r>
      <w:r>
        <w:rPr>
          <w:rFonts w:hint="eastAsia" w:cs="Times New Roman"/>
          <w:color w:val="auto"/>
          <w:kern w:val="1"/>
          <w:u w:val="none"/>
          <w:lang w:val="en-US" w:eastAsia="zh-CN"/>
        </w:rPr>
        <w:t>4</w:t>
      </w:r>
      <w:r>
        <w:rPr>
          <w:rFonts w:hint="default" w:ascii="Times New Roman" w:hAnsi="Times New Roman" w:cs="Times New Roman"/>
          <w:color w:val="auto"/>
          <w:kern w:val="1"/>
          <w:u w:val="none"/>
        </w:rPr>
        <w:t>-</w:t>
      </w:r>
      <w:r>
        <w:rPr>
          <w:rFonts w:hint="eastAsia" w:cs="Times New Roman"/>
          <w:color w:val="auto"/>
          <w:kern w:val="1"/>
          <w:u w:val="none"/>
          <w:lang w:val="en-US" w:eastAsia="zh-CN"/>
        </w:rPr>
        <w:t>1</w:t>
      </w:r>
      <w:r>
        <w:rPr>
          <w:rFonts w:hint="default" w:ascii="Times New Roman" w:hAnsi="Times New Roman" w:cs="Times New Roman"/>
          <w:color w:val="auto"/>
          <w:kern w:val="1"/>
          <w:u w:val="none"/>
        </w:rPr>
        <w:t>规定的限值。</w:t>
      </w:r>
    </w:p>
    <w:p w14:paraId="4B9EF272">
      <w:pPr>
        <w:pStyle w:val="21"/>
        <w:bidi w:val="0"/>
        <w:rPr>
          <w:rFonts w:hint="default"/>
          <w:color w:val="auto"/>
        </w:rPr>
      </w:pPr>
      <w:r>
        <w:rPr>
          <w:rFonts w:hint="default"/>
          <w:color w:val="auto"/>
        </w:rPr>
        <w:t>表</w:t>
      </w:r>
      <w:r>
        <w:rPr>
          <w:rFonts w:hint="default"/>
          <w:color w:val="auto"/>
          <w:lang w:val="en-US" w:eastAsia="zh-CN"/>
        </w:rPr>
        <w:t>6.</w:t>
      </w:r>
      <w:r>
        <w:rPr>
          <w:rFonts w:hint="eastAsia"/>
          <w:color w:val="auto"/>
          <w:lang w:val="en-US" w:eastAsia="zh-CN"/>
        </w:rPr>
        <w:t>4</w:t>
      </w:r>
      <w:r>
        <w:rPr>
          <w:rFonts w:hint="default"/>
          <w:color w:val="auto"/>
        </w:rPr>
        <w:t>-</w:t>
      </w:r>
      <w:r>
        <w:rPr>
          <w:rFonts w:hint="eastAsia"/>
          <w:color w:val="auto"/>
          <w:lang w:val="en-US" w:eastAsia="zh-CN"/>
        </w:rPr>
        <w:t>1</w:t>
      </w:r>
      <w:r>
        <w:rPr>
          <w:rFonts w:hint="default"/>
          <w:color w:val="auto"/>
        </w:rPr>
        <w:t xml:space="preserve"> 浸出液污染物浓度限值</w:t>
      </w:r>
    </w:p>
    <w:tbl>
      <w:tblPr>
        <w:tblStyle w:val="14"/>
        <w:tblW w:w="9071" w:type="dxa"/>
        <w:jc w:val="center"/>
        <w:tblLayout w:type="fixed"/>
        <w:tblCellMar>
          <w:top w:w="0" w:type="dxa"/>
          <w:left w:w="108" w:type="dxa"/>
          <w:bottom w:w="0" w:type="dxa"/>
          <w:right w:w="108" w:type="dxa"/>
        </w:tblCellMar>
      </w:tblPr>
      <w:tblGrid>
        <w:gridCol w:w="3024"/>
        <w:gridCol w:w="3024"/>
        <w:gridCol w:w="3023"/>
      </w:tblGrid>
      <w:tr w14:paraId="047631BB">
        <w:tblPrEx>
          <w:tblCellMar>
            <w:top w:w="0" w:type="dxa"/>
            <w:left w:w="108" w:type="dxa"/>
            <w:bottom w:w="0" w:type="dxa"/>
            <w:right w:w="108" w:type="dxa"/>
          </w:tblCellMar>
        </w:tblPrEx>
        <w:trPr>
          <w:cantSplit/>
          <w:trHeight w:val="340" w:hRule="atLeast"/>
          <w:jc w:val="center"/>
        </w:trPr>
        <w:tc>
          <w:tcPr>
            <w:tcW w:w="3024" w:type="dxa"/>
            <w:tcBorders>
              <w:top w:val="single" w:color="000000" w:sz="12" w:space="0"/>
              <w:bottom w:val="single" w:color="000000" w:sz="4" w:space="0"/>
              <w:right w:val="single" w:color="000000" w:sz="4" w:space="0"/>
            </w:tcBorders>
            <w:noWrap w:val="0"/>
            <w:vAlign w:val="center"/>
          </w:tcPr>
          <w:p w14:paraId="5CBA4B43">
            <w:pPr>
              <w:pStyle w:val="23"/>
              <w:bidi w:val="0"/>
              <w:rPr>
                <w:rFonts w:hint="default" w:ascii="Times New Roman" w:hAnsi="Times New Roman" w:cs="Times New Roman"/>
                <w:color w:val="auto"/>
              </w:rPr>
            </w:pPr>
            <w:r>
              <w:rPr>
                <w:rFonts w:hint="default" w:ascii="Times New Roman" w:hAnsi="Times New Roman" w:cs="Times New Roman"/>
                <w:color w:val="auto"/>
              </w:rPr>
              <w:t>序号</w:t>
            </w:r>
          </w:p>
        </w:tc>
        <w:tc>
          <w:tcPr>
            <w:tcW w:w="3024" w:type="dxa"/>
            <w:tcBorders>
              <w:top w:val="single" w:color="000000" w:sz="12" w:space="0"/>
              <w:left w:val="single" w:color="000000" w:sz="4" w:space="0"/>
              <w:bottom w:val="single" w:color="000000" w:sz="4" w:space="0"/>
              <w:right w:val="single" w:color="000000" w:sz="4" w:space="0"/>
            </w:tcBorders>
            <w:noWrap w:val="0"/>
            <w:vAlign w:val="center"/>
          </w:tcPr>
          <w:p w14:paraId="0D3DD5F5">
            <w:pPr>
              <w:pStyle w:val="23"/>
              <w:bidi w:val="0"/>
              <w:rPr>
                <w:rFonts w:hint="default" w:ascii="Times New Roman" w:hAnsi="Times New Roman" w:cs="Times New Roman"/>
                <w:color w:val="auto"/>
              </w:rPr>
            </w:pPr>
            <w:r>
              <w:rPr>
                <w:rFonts w:hint="default" w:ascii="Times New Roman" w:hAnsi="Times New Roman" w:cs="Times New Roman"/>
                <w:color w:val="auto"/>
              </w:rPr>
              <w:t>污染物项目</w:t>
            </w:r>
          </w:p>
        </w:tc>
        <w:tc>
          <w:tcPr>
            <w:tcW w:w="3023" w:type="dxa"/>
            <w:tcBorders>
              <w:top w:val="single" w:color="000000" w:sz="12" w:space="0"/>
              <w:left w:val="single" w:color="000000" w:sz="4" w:space="0"/>
              <w:bottom w:val="single" w:color="000000" w:sz="4" w:space="0"/>
            </w:tcBorders>
            <w:noWrap w:val="0"/>
            <w:vAlign w:val="center"/>
          </w:tcPr>
          <w:p w14:paraId="66F038C1">
            <w:pPr>
              <w:pStyle w:val="23"/>
              <w:bidi w:val="0"/>
              <w:rPr>
                <w:rFonts w:hint="default" w:ascii="Times New Roman" w:hAnsi="Times New Roman" w:cs="Times New Roman"/>
                <w:color w:val="auto"/>
              </w:rPr>
            </w:pPr>
            <w:r>
              <w:rPr>
                <w:rFonts w:hint="default" w:ascii="Times New Roman" w:hAnsi="Times New Roman" w:cs="Times New Roman"/>
                <w:color w:val="auto"/>
              </w:rPr>
              <w:t>浓度限值(mg/L)</w:t>
            </w:r>
          </w:p>
        </w:tc>
      </w:tr>
      <w:tr w14:paraId="76161166">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4" w:space="0"/>
              <w:right w:val="single" w:color="000000" w:sz="4" w:space="0"/>
            </w:tcBorders>
            <w:noWrap w:val="0"/>
            <w:vAlign w:val="center"/>
          </w:tcPr>
          <w:p w14:paraId="3BC1CDFE">
            <w:pPr>
              <w:pStyle w:val="23"/>
              <w:bidi w:val="0"/>
              <w:rPr>
                <w:rFonts w:hint="default" w:ascii="Times New Roman" w:hAnsi="Times New Roman" w:cs="Times New Roman"/>
                <w:color w:val="auto"/>
              </w:rPr>
            </w:pPr>
            <w:r>
              <w:rPr>
                <w:rFonts w:hint="default" w:ascii="Times New Roman" w:hAnsi="Times New Roman" w:cs="Times New Roman"/>
                <w:color w:val="auto"/>
              </w:rPr>
              <w:t>1</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14:paraId="2C4BBCE1">
            <w:pPr>
              <w:pStyle w:val="23"/>
              <w:bidi w:val="0"/>
              <w:rPr>
                <w:rFonts w:hint="default" w:ascii="Times New Roman" w:hAnsi="Times New Roman" w:cs="Times New Roman"/>
                <w:color w:val="auto"/>
              </w:rPr>
            </w:pPr>
            <w:r>
              <w:rPr>
                <w:rFonts w:hint="default" w:ascii="Times New Roman" w:hAnsi="Times New Roman" w:cs="Times New Roman"/>
                <w:color w:val="auto"/>
              </w:rPr>
              <w:t>汞</w:t>
            </w:r>
          </w:p>
        </w:tc>
        <w:tc>
          <w:tcPr>
            <w:tcW w:w="3023" w:type="dxa"/>
            <w:tcBorders>
              <w:top w:val="single" w:color="000000" w:sz="4" w:space="0"/>
              <w:left w:val="single" w:color="000000" w:sz="4" w:space="0"/>
              <w:bottom w:val="single" w:color="000000" w:sz="4" w:space="0"/>
            </w:tcBorders>
            <w:noWrap w:val="0"/>
            <w:vAlign w:val="center"/>
          </w:tcPr>
          <w:p w14:paraId="2F821A1B">
            <w:pPr>
              <w:pStyle w:val="23"/>
              <w:bidi w:val="0"/>
              <w:rPr>
                <w:rFonts w:hint="default" w:ascii="Times New Roman" w:hAnsi="Times New Roman" w:cs="Times New Roman"/>
                <w:color w:val="auto"/>
              </w:rPr>
            </w:pPr>
            <w:r>
              <w:rPr>
                <w:rFonts w:hint="default" w:ascii="Times New Roman" w:hAnsi="Times New Roman" w:cs="Times New Roman"/>
                <w:color w:val="auto"/>
              </w:rPr>
              <w:t>0.05</w:t>
            </w:r>
          </w:p>
        </w:tc>
      </w:tr>
      <w:tr w14:paraId="5D51C3C4">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4" w:space="0"/>
              <w:right w:val="single" w:color="000000" w:sz="4" w:space="0"/>
            </w:tcBorders>
            <w:noWrap w:val="0"/>
            <w:vAlign w:val="center"/>
          </w:tcPr>
          <w:p w14:paraId="4EB6012E">
            <w:pPr>
              <w:pStyle w:val="23"/>
              <w:bidi w:val="0"/>
              <w:rPr>
                <w:rFonts w:hint="default" w:ascii="Times New Roman" w:hAnsi="Times New Roman" w:cs="Times New Roman"/>
                <w:color w:val="auto"/>
              </w:rPr>
            </w:pPr>
            <w:r>
              <w:rPr>
                <w:rFonts w:hint="default" w:ascii="Times New Roman" w:hAnsi="Times New Roman" w:cs="Times New Roman"/>
                <w:color w:val="auto"/>
              </w:rPr>
              <w:t>2</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14:paraId="2D429DC4">
            <w:pPr>
              <w:pStyle w:val="23"/>
              <w:bidi w:val="0"/>
              <w:rPr>
                <w:rFonts w:hint="default" w:ascii="Times New Roman" w:hAnsi="Times New Roman" w:cs="Times New Roman"/>
                <w:color w:val="auto"/>
              </w:rPr>
            </w:pPr>
            <w:r>
              <w:rPr>
                <w:rFonts w:hint="default" w:ascii="Times New Roman" w:hAnsi="Times New Roman" w:cs="Times New Roman"/>
                <w:color w:val="auto"/>
              </w:rPr>
              <w:t>铜</w:t>
            </w:r>
          </w:p>
        </w:tc>
        <w:tc>
          <w:tcPr>
            <w:tcW w:w="3023" w:type="dxa"/>
            <w:tcBorders>
              <w:top w:val="single" w:color="000000" w:sz="4" w:space="0"/>
              <w:left w:val="single" w:color="000000" w:sz="4" w:space="0"/>
              <w:bottom w:val="single" w:color="000000" w:sz="4" w:space="0"/>
            </w:tcBorders>
            <w:noWrap w:val="0"/>
            <w:vAlign w:val="center"/>
          </w:tcPr>
          <w:p w14:paraId="07406C7A">
            <w:pPr>
              <w:pStyle w:val="23"/>
              <w:bidi w:val="0"/>
              <w:rPr>
                <w:rFonts w:hint="default" w:ascii="Times New Roman" w:hAnsi="Times New Roman" w:cs="Times New Roman"/>
                <w:color w:val="auto"/>
              </w:rPr>
            </w:pPr>
            <w:r>
              <w:rPr>
                <w:rFonts w:hint="default" w:ascii="Times New Roman" w:hAnsi="Times New Roman" w:cs="Times New Roman"/>
                <w:color w:val="auto"/>
              </w:rPr>
              <w:t>40</w:t>
            </w:r>
          </w:p>
        </w:tc>
      </w:tr>
      <w:tr w14:paraId="5D11A9D4">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4" w:space="0"/>
              <w:right w:val="single" w:color="000000" w:sz="4" w:space="0"/>
            </w:tcBorders>
            <w:noWrap w:val="0"/>
            <w:vAlign w:val="center"/>
          </w:tcPr>
          <w:p w14:paraId="7F688AF5">
            <w:pPr>
              <w:pStyle w:val="23"/>
              <w:bidi w:val="0"/>
              <w:rPr>
                <w:rFonts w:hint="default" w:ascii="Times New Roman" w:hAnsi="Times New Roman" w:cs="Times New Roman"/>
                <w:color w:val="auto"/>
              </w:rPr>
            </w:pPr>
            <w:r>
              <w:rPr>
                <w:rFonts w:hint="default" w:ascii="Times New Roman" w:hAnsi="Times New Roman" w:cs="Times New Roman"/>
                <w:color w:val="auto"/>
              </w:rPr>
              <w:t>3</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14:paraId="79918A88">
            <w:pPr>
              <w:pStyle w:val="23"/>
              <w:bidi w:val="0"/>
              <w:rPr>
                <w:rFonts w:hint="default" w:ascii="Times New Roman" w:hAnsi="Times New Roman" w:cs="Times New Roman"/>
                <w:color w:val="auto"/>
              </w:rPr>
            </w:pPr>
            <w:r>
              <w:rPr>
                <w:rFonts w:hint="default" w:ascii="Times New Roman" w:hAnsi="Times New Roman" w:cs="Times New Roman"/>
                <w:color w:val="auto"/>
              </w:rPr>
              <w:t>锌</w:t>
            </w:r>
          </w:p>
        </w:tc>
        <w:tc>
          <w:tcPr>
            <w:tcW w:w="3023" w:type="dxa"/>
            <w:tcBorders>
              <w:top w:val="single" w:color="000000" w:sz="4" w:space="0"/>
              <w:left w:val="single" w:color="000000" w:sz="4" w:space="0"/>
              <w:bottom w:val="single" w:color="000000" w:sz="4" w:space="0"/>
            </w:tcBorders>
            <w:noWrap w:val="0"/>
            <w:vAlign w:val="center"/>
          </w:tcPr>
          <w:p w14:paraId="491373FB">
            <w:pPr>
              <w:pStyle w:val="23"/>
              <w:bidi w:val="0"/>
              <w:rPr>
                <w:rFonts w:hint="default" w:ascii="Times New Roman" w:hAnsi="Times New Roman" w:cs="Times New Roman"/>
                <w:color w:val="auto"/>
              </w:rPr>
            </w:pPr>
            <w:r>
              <w:rPr>
                <w:rFonts w:hint="default" w:ascii="Times New Roman" w:hAnsi="Times New Roman" w:cs="Times New Roman"/>
                <w:color w:val="auto"/>
              </w:rPr>
              <w:t>100</w:t>
            </w:r>
          </w:p>
        </w:tc>
      </w:tr>
      <w:tr w14:paraId="3F9F597B">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4" w:space="0"/>
              <w:right w:val="single" w:color="000000" w:sz="4" w:space="0"/>
            </w:tcBorders>
            <w:noWrap w:val="0"/>
            <w:vAlign w:val="center"/>
          </w:tcPr>
          <w:p w14:paraId="252295D6">
            <w:pPr>
              <w:pStyle w:val="23"/>
              <w:bidi w:val="0"/>
              <w:rPr>
                <w:rFonts w:hint="default" w:ascii="Times New Roman" w:hAnsi="Times New Roman" w:cs="Times New Roman"/>
                <w:color w:val="auto"/>
              </w:rPr>
            </w:pPr>
            <w:r>
              <w:rPr>
                <w:rFonts w:hint="default" w:ascii="Times New Roman" w:hAnsi="Times New Roman" w:cs="Times New Roman"/>
                <w:color w:val="auto"/>
              </w:rPr>
              <w:t>4</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14:paraId="3B280D3A">
            <w:pPr>
              <w:pStyle w:val="23"/>
              <w:bidi w:val="0"/>
              <w:rPr>
                <w:rFonts w:hint="default" w:ascii="Times New Roman" w:hAnsi="Times New Roman" w:cs="Times New Roman"/>
                <w:color w:val="auto"/>
              </w:rPr>
            </w:pPr>
            <w:r>
              <w:rPr>
                <w:rFonts w:hint="default" w:ascii="Times New Roman" w:hAnsi="Times New Roman" w:cs="Times New Roman"/>
                <w:color w:val="auto"/>
              </w:rPr>
              <w:t>铅</w:t>
            </w:r>
          </w:p>
        </w:tc>
        <w:tc>
          <w:tcPr>
            <w:tcW w:w="3023" w:type="dxa"/>
            <w:tcBorders>
              <w:top w:val="single" w:color="000000" w:sz="4" w:space="0"/>
              <w:left w:val="single" w:color="000000" w:sz="4" w:space="0"/>
              <w:bottom w:val="single" w:color="000000" w:sz="4" w:space="0"/>
            </w:tcBorders>
            <w:noWrap w:val="0"/>
            <w:vAlign w:val="center"/>
          </w:tcPr>
          <w:p w14:paraId="3CF8ED1A">
            <w:pPr>
              <w:pStyle w:val="23"/>
              <w:bidi w:val="0"/>
              <w:rPr>
                <w:rFonts w:hint="default" w:ascii="Times New Roman" w:hAnsi="Times New Roman" w:cs="Times New Roman"/>
                <w:color w:val="auto"/>
              </w:rPr>
            </w:pPr>
            <w:r>
              <w:rPr>
                <w:rFonts w:hint="default" w:ascii="Times New Roman" w:hAnsi="Times New Roman" w:cs="Times New Roman"/>
                <w:color w:val="auto"/>
              </w:rPr>
              <w:t>0.25</w:t>
            </w:r>
          </w:p>
        </w:tc>
      </w:tr>
      <w:tr w14:paraId="6495859E">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4" w:space="0"/>
              <w:right w:val="single" w:color="000000" w:sz="4" w:space="0"/>
            </w:tcBorders>
            <w:noWrap w:val="0"/>
            <w:vAlign w:val="center"/>
          </w:tcPr>
          <w:p w14:paraId="7818469B">
            <w:pPr>
              <w:pStyle w:val="23"/>
              <w:bidi w:val="0"/>
              <w:rPr>
                <w:rFonts w:hint="default" w:ascii="Times New Roman" w:hAnsi="Times New Roman" w:cs="Times New Roman"/>
                <w:color w:val="auto"/>
              </w:rPr>
            </w:pPr>
            <w:r>
              <w:rPr>
                <w:rFonts w:hint="default" w:ascii="Times New Roman" w:hAnsi="Times New Roman" w:cs="Times New Roman"/>
                <w:color w:val="auto"/>
              </w:rPr>
              <w:t>5</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14:paraId="2F4DC35A">
            <w:pPr>
              <w:pStyle w:val="23"/>
              <w:bidi w:val="0"/>
              <w:rPr>
                <w:rFonts w:hint="default" w:ascii="Times New Roman" w:hAnsi="Times New Roman" w:cs="Times New Roman"/>
                <w:color w:val="auto"/>
              </w:rPr>
            </w:pPr>
            <w:r>
              <w:rPr>
                <w:rFonts w:hint="default" w:ascii="Times New Roman" w:hAnsi="Times New Roman" w:cs="Times New Roman"/>
                <w:color w:val="auto"/>
              </w:rPr>
              <w:t>镉</w:t>
            </w:r>
          </w:p>
        </w:tc>
        <w:tc>
          <w:tcPr>
            <w:tcW w:w="3023" w:type="dxa"/>
            <w:tcBorders>
              <w:top w:val="single" w:color="000000" w:sz="4" w:space="0"/>
              <w:left w:val="single" w:color="000000" w:sz="4" w:space="0"/>
              <w:bottom w:val="single" w:color="000000" w:sz="4" w:space="0"/>
            </w:tcBorders>
            <w:noWrap w:val="0"/>
            <w:vAlign w:val="center"/>
          </w:tcPr>
          <w:p w14:paraId="668FE74F">
            <w:pPr>
              <w:pStyle w:val="23"/>
              <w:bidi w:val="0"/>
              <w:rPr>
                <w:rFonts w:hint="default" w:ascii="Times New Roman" w:hAnsi="Times New Roman" w:cs="Times New Roman"/>
                <w:color w:val="auto"/>
              </w:rPr>
            </w:pPr>
            <w:r>
              <w:rPr>
                <w:rFonts w:hint="default" w:ascii="Times New Roman" w:hAnsi="Times New Roman" w:cs="Times New Roman"/>
                <w:color w:val="auto"/>
              </w:rPr>
              <w:t>0.15</w:t>
            </w:r>
          </w:p>
        </w:tc>
      </w:tr>
      <w:tr w14:paraId="5AA9AC09">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4" w:space="0"/>
              <w:right w:val="single" w:color="000000" w:sz="4" w:space="0"/>
            </w:tcBorders>
            <w:noWrap w:val="0"/>
            <w:vAlign w:val="center"/>
          </w:tcPr>
          <w:p w14:paraId="09A71772">
            <w:pPr>
              <w:pStyle w:val="23"/>
              <w:bidi w:val="0"/>
              <w:rPr>
                <w:rFonts w:hint="default" w:ascii="Times New Roman" w:hAnsi="Times New Roman" w:cs="Times New Roman"/>
                <w:color w:val="auto"/>
              </w:rPr>
            </w:pPr>
            <w:r>
              <w:rPr>
                <w:rFonts w:hint="default" w:ascii="Times New Roman" w:hAnsi="Times New Roman" w:cs="Times New Roman"/>
                <w:color w:val="auto"/>
              </w:rPr>
              <w:t>6</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14:paraId="68499A2C">
            <w:pPr>
              <w:pStyle w:val="23"/>
              <w:bidi w:val="0"/>
              <w:rPr>
                <w:rFonts w:hint="default" w:ascii="Times New Roman" w:hAnsi="Times New Roman" w:cs="Times New Roman"/>
                <w:color w:val="auto"/>
              </w:rPr>
            </w:pPr>
            <w:r>
              <w:rPr>
                <w:rFonts w:hint="default" w:ascii="Times New Roman" w:hAnsi="Times New Roman" w:cs="Times New Roman"/>
                <w:color w:val="auto"/>
              </w:rPr>
              <w:t>铍</w:t>
            </w:r>
          </w:p>
        </w:tc>
        <w:tc>
          <w:tcPr>
            <w:tcW w:w="3023" w:type="dxa"/>
            <w:tcBorders>
              <w:top w:val="single" w:color="000000" w:sz="4" w:space="0"/>
              <w:left w:val="single" w:color="000000" w:sz="4" w:space="0"/>
              <w:bottom w:val="single" w:color="000000" w:sz="4" w:space="0"/>
            </w:tcBorders>
            <w:noWrap w:val="0"/>
            <w:vAlign w:val="center"/>
          </w:tcPr>
          <w:p w14:paraId="645A4717">
            <w:pPr>
              <w:pStyle w:val="23"/>
              <w:bidi w:val="0"/>
              <w:rPr>
                <w:rFonts w:hint="default" w:ascii="Times New Roman" w:hAnsi="Times New Roman" w:cs="Times New Roman"/>
                <w:color w:val="auto"/>
              </w:rPr>
            </w:pPr>
            <w:r>
              <w:rPr>
                <w:rFonts w:hint="default" w:ascii="Times New Roman" w:hAnsi="Times New Roman" w:cs="Times New Roman"/>
                <w:color w:val="auto"/>
              </w:rPr>
              <w:t>0.02</w:t>
            </w:r>
          </w:p>
        </w:tc>
      </w:tr>
      <w:tr w14:paraId="54501C7A">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4" w:space="0"/>
              <w:right w:val="single" w:color="000000" w:sz="4" w:space="0"/>
            </w:tcBorders>
            <w:noWrap w:val="0"/>
            <w:vAlign w:val="center"/>
          </w:tcPr>
          <w:p w14:paraId="6F57CCF9">
            <w:pPr>
              <w:pStyle w:val="23"/>
              <w:bidi w:val="0"/>
              <w:rPr>
                <w:rFonts w:hint="default" w:ascii="Times New Roman" w:hAnsi="Times New Roman" w:cs="Times New Roman"/>
                <w:color w:val="auto"/>
              </w:rPr>
            </w:pPr>
            <w:r>
              <w:rPr>
                <w:rFonts w:hint="default" w:ascii="Times New Roman" w:hAnsi="Times New Roman" w:cs="Times New Roman"/>
                <w:color w:val="auto"/>
              </w:rPr>
              <w:t>7</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14:paraId="39DCB368">
            <w:pPr>
              <w:pStyle w:val="23"/>
              <w:bidi w:val="0"/>
              <w:rPr>
                <w:rFonts w:hint="default" w:ascii="Times New Roman" w:hAnsi="Times New Roman" w:cs="Times New Roman"/>
                <w:color w:val="auto"/>
              </w:rPr>
            </w:pPr>
            <w:r>
              <w:rPr>
                <w:rFonts w:hint="default" w:ascii="Times New Roman" w:hAnsi="Times New Roman" w:cs="Times New Roman"/>
                <w:color w:val="auto"/>
              </w:rPr>
              <w:t>钡</w:t>
            </w:r>
          </w:p>
        </w:tc>
        <w:tc>
          <w:tcPr>
            <w:tcW w:w="3023" w:type="dxa"/>
            <w:tcBorders>
              <w:top w:val="single" w:color="000000" w:sz="4" w:space="0"/>
              <w:left w:val="single" w:color="000000" w:sz="4" w:space="0"/>
              <w:bottom w:val="single" w:color="000000" w:sz="4" w:space="0"/>
            </w:tcBorders>
            <w:noWrap w:val="0"/>
            <w:vAlign w:val="center"/>
          </w:tcPr>
          <w:p w14:paraId="6C0A82B5">
            <w:pPr>
              <w:pStyle w:val="23"/>
              <w:bidi w:val="0"/>
              <w:rPr>
                <w:rFonts w:hint="default" w:ascii="Times New Roman" w:hAnsi="Times New Roman" w:cs="Times New Roman"/>
                <w:color w:val="auto"/>
              </w:rPr>
            </w:pPr>
            <w:r>
              <w:rPr>
                <w:rFonts w:hint="default" w:ascii="Times New Roman" w:hAnsi="Times New Roman" w:cs="Times New Roman"/>
                <w:color w:val="auto"/>
              </w:rPr>
              <w:t>25</w:t>
            </w:r>
          </w:p>
        </w:tc>
      </w:tr>
      <w:tr w14:paraId="06B396A5">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4" w:space="0"/>
              <w:right w:val="single" w:color="000000" w:sz="4" w:space="0"/>
            </w:tcBorders>
            <w:noWrap w:val="0"/>
            <w:vAlign w:val="center"/>
          </w:tcPr>
          <w:p w14:paraId="797CFBE4">
            <w:pPr>
              <w:pStyle w:val="23"/>
              <w:bidi w:val="0"/>
              <w:rPr>
                <w:rFonts w:hint="default" w:ascii="Times New Roman" w:hAnsi="Times New Roman" w:cs="Times New Roman"/>
                <w:color w:val="auto"/>
              </w:rPr>
            </w:pPr>
            <w:r>
              <w:rPr>
                <w:rFonts w:hint="default" w:ascii="Times New Roman" w:hAnsi="Times New Roman" w:cs="Times New Roman"/>
                <w:color w:val="auto"/>
              </w:rPr>
              <w:t>8</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14:paraId="788C83C1">
            <w:pPr>
              <w:pStyle w:val="23"/>
              <w:bidi w:val="0"/>
              <w:rPr>
                <w:rFonts w:hint="default" w:ascii="Times New Roman" w:hAnsi="Times New Roman" w:cs="Times New Roman"/>
                <w:color w:val="auto"/>
              </w:rPr>
            </w:pPr>
            <w:r>
              <w:rPr>
                <w:rFonts w:hint="default" w:ascii="Times New Roman" w:hAnsi="Times New Roman" w:cs="Times New Roman"/>
                <w:color w:val="auto"/>
              </w:rPr>
              <w:t>镍</w:t>
            </w:r>
          </w:p>
        </w:tc>
        <w:tc>
          <w:tcPr>
            <w:tcW w:w="3023" w:type="dxa"/>
            <w:tcBorders>
              <w:top w:val="single" w:color="000000" w:sz="4" w:space="0"/>
              <w:left w:val="single" w:color="000000" w:sz="4" w:space="0"/>
              <w:bottom w:val="single" w:color="000000" w:sz="4" w:space="0"/>
            </w:tcBorders>
            <w:noWrap w:val="0"/>
            <w:vAlign w:val="center"/>
          </w:tcPr>
          <w:p w14:paraId="3F83CF38">
            <w:pPr>
              <w:pStyle w:val="23"/>
              <w:bidi w:val="0"/>
              <w:rPr>
                <w:rFonts w:hint="default" w:ascii="Times New Roman" w:hAnsi="Times New Roman" w:cs="Times New Roman"/>
                <w:color w:val="auto"/>
              </w:rPr>
            </w:pPr>
            <w:r>
              <w:rPr>
                <w:rFonts w:hint="default" w:ascii="Times New Roman" w:hAnsi="Times New Roman" w:cs="Times New Roman"/>
                <w:color w:val="auto"/>
              </w:rPr>
              <w:t>0.5</w:t>
            </w:r>
          </w:p>
        </w:tc>
      </w:tr>
      <w:tr w14:paraId="22CDBE8D">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4" w:space="0"/>
              <w:right w:val="single" w:color="000000" w:sz="4" w:space="0"/>
            </w:tcBorders>
            <w:noWrap w:val="0"/>
            <w:vAlign w:val="center"/>
          </w:tcPr>
          <w:p w14:paraId="758C08C6">
            <w:pPr>
              <w:pStyle w:val="23"/>
              <w:bidi w:val="0"/>
              <w:rPr>
                <w:rFonts w:hint="default" w:ascii="Times New Roman" w:hAnsi="Times New Roman" w:cs="Times New Roman"/>
                <w:color w:val="auto"/>
              </w:rPr>
            </w:pPr>
            <w:r>
              <w:rPr>
                <w:rFonts w:hint="default" w:ascii="Times New Roman" w:hAnsi="Times New Roman" w:cs="Times New Roman"/>
                <w:color w:val="auto"/>
              </w:rPr>
              <w:t>9</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14:paraId="635C2C91">
            <w:pPr>
              <w:pStyle w:val="23"/>
              <w:bidi w:val="0"/>
              <w:rPr>
                <w:rFonts w:hint="default" w:ascii="Times New Roman" w:hAnsi="Times New Roman" w:cs="Times New Roman"/>
                <w:color w:val="auto"/>
              </w:rPr>
            </w:pPr>
            <w:r>
              <w:rPr>
                <w:rFonts w:hint="default" w:ascii="Times New Roman" w:hAnsi="Times New Roman" w:cs="Times New Roman"/>
                <w:color w:val="auto"/>
              </w:rPr>
              <w:t>砷</w:t>
            </w:r>
          </w:p>
        </w:tc>
        <w:tc>
          <w:tcPr>
            <w:tcW w:w="3023" w:type="dxa"/>
            <w:tcBorders>
              <w:top w:val="single" w:color="000000" w:sz="4" w:space="0"/>
              <w:left w:val="single" w:color="000000" w:sz="4" w:space="0"/>
              <w:bottom w:val="single" w:color="000000" w:sz="4" w:space="0"/>
            </w:tcBorders>
            <w:noWrap w:val="0"/>
            <w:vAlign w:val="center"/>
          </w:tcPr>
          <w:p w14:paraId="096745C3">
            <w:pPr>
              <w:pStyle w:val="23"/>
              <w:bidi w:val="0"/>
              <w:rPr>
                <w:rFonts w:hint="default" w:ascii="Times New Roman" w:hAnsi="Times New Roman" w:cs="Times New Roman"/>
                <w:color w:val="auto"/>
              </w:rPr>
            </w:pPr>
            <w:r>
              <w:rPr>
                <w:rFonts w:hint="default" w:ascii="Times New Roman" w:hAnsi="Times New Roman" w:cs="Times New Roman"/>
                <w:color w:val="auto"/>
              </w:rPr>
              <w:t>0.3</w:t>
            </w:r>
          </w:p>
        </w:tc>
      </w:tr>
      <w:tr w14:paraId="3B3D2589">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4" w:space="0"/>
              <w:right w:val="single" w:color="000000" w:sz="4" w:space="0"/>
            </w:tcBorders>
            <w:noWrap w:val="0"/>
            <w:vAlign w:val="center"/>
          </w:tcPr>
          <w:p w14:paraId="7CFC5AA4">
            <w:pPr>
              <w:pStyle w:val="23"/>
              <w:bidi w:val="0"/>
              <w:rPr>
                <w:rFonts w:hint="default" w:ascii="Times New Roman" w:hAnsi="Times New Roman" w:cs="Times New Roman"/>
                <w:color w:val="auto"/>
              </w:rPr>
            </w:pPr>
            <w:r>
              <w:rPr>
                <w:rFonts w:hint="default" w:ascii="Times New Roman" w:hAnsi="Times New Roman" w:cs="Times New Roman"/>
                <w:color w:val="auto"/>
              </w:rPr>
              <w:t>10</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14:paraId="65E3896B">
            <w:pPr>
              <w:pStyle w:val="23"/>
              <w:bidi w:val="0"/>
              <w:rPr>
                <w:rFonts w:hint="default" w:ascii="Times New Roman" w:hAnsi="Times New Roman" w:cs="Times New Roman"/>
                <w:color w:val="auto"/>
              </w:rPr>
            </w:pPr>
            <w:r>
              <w:rPr>
                <w:rFonts w:hint="default" w:ascii="Times New Roman" w:hAnsi="Times New Roman" w:cs="Times New Roman"/>
                <w:color w:val="auto"/>
              </w:rPr>
              <w:t>总铬</w:t>
            </w:r>
          </w:p>
        </w:tc>
        <w:tc>
          <w:tcPr>
            <w:tcW w:w="3023" w:type="dxa"/>
            <w:tcBorders>
              <w:top w:val="single" w:color="000000" w:sz="4" w:space="0"/>
              <w:left w:val="single" w:color="000000" w:sz="4" w:space="0"/>
              <w:bottom w:val="single" w:color="000000" w:sz="4" w:space="0"/>
            </w:tcBorders>
            <w:noWrap w:val="0"/>
            <w:vAlign w:val="center"/>
          </w:tcPr>
          <w:p w14:paraId="56D1C59A">
            <w:pPr>
              <w:pStyle w:val="23"/>
              <w:bidi w:val="0"/>
              <w:rPr>
                <w:rFonts w:hint="default" w:ascii="Times New Roman" w:hAnsi="Times New Roman" w:cs="Times New Roman"/>
                <w:color w:val="auto"/>
              </w:rPr>
            </w:pPr>
            <w:r>
              <w:rPr>
                <w:rFonts w:hint="default" w:ascii="Times New Roman" w:hAnsi="Times New Roman" w:cs="Times New Roman"/>
                <w:color w:val="auto"/>
              </w:rPr>
              <w:t>4.5</w:t>
            </w:r>
          </w:p>
        </w:tc>
      </w:tr>
      <w:tr w14:paraId="5A01DCCA">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4" w:space="0"/>
              <w:right w:val="single" w:color="000000" w:sz="4" w:space="0"/>
            </w:tcBorders>
            <w:noWrap w:val="0"/>
            <w:vAlign w:val="center"/>
          </w:tcPr>
          <w:p w14:paraId="5AFF57A7">
            <w:pPr>
              <w:pStyle w:val="23"/>
              <w:bidi w:val="0"/>
              <w:rPr>
                <w:rFonts w:hint="default" w:ascii="Times New Roman" w:hAnsi="Times New Roman" w:cs="Times New Roman"/>
                <w:color w:val="auto"/>
              </w:rPr>
            </w:pPr>
            <w:r>
              <w:rPr>
                <w:rFonts w:hint="default" w:ascii="Times New Roman" w:hAnsi="Times New Roman" w:cs="Times New Roman"/>
                <w:color w:val="auto"/>
              </w:rPr>
              <w:t>11</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14:paraId="46D02BC6">
            <w:pPr>
              <w:pStyle w:val="23"/>
              <w:bidi w:val="0"/>
              <w:rPr>
                <w:rFonts w:hint="default" w:ascii="Times New Roman" w:hAnsi="Times New Roman" w:cs="Times New Roman"/>
                <w:color w:val="auto"/>
              </w:rPr>
            </w:pPr>
            <w:r>
              <w:rPr>
                <w:rFonts w:hint="default" w:ascii="Times New Roman" w:hAnsi="Times New Roman" w:cs="Times New Roman"/>
                <w:color w:val="auto"/>
              </w:rPr>
              <w:t>六价铬</w:t>
            </w:r>
          </w:p>
        </w:tc>
        <w:tc>
          <w:tcPr>
            <w:tcW w:w="3023" w:type="dxa"/>
            <w:tcBorders>
              <w:top w:val="single" w:color="000000" w:sz="4" w:space="0"/>
              <w:left w:val="single" w:color="000000" w:sz="4" w:space="0"/>
              <w:bottom w:val="single" w:color="000000" w:sz="4" w:space="0"/>
            </w:tcBorders>
            <w:noWrap w:val="0"/>
            <w:vAlign w:val="center"/>
          </w:tcPr>
          <w:p w14:paraId="3429EA5C">
            <w:pPr>
              <w:pStyle w:val="23"/>
              <w:bidi w:val="0"/>
              <w:rPr>
                <w:rFonts w:hint="default" w:ascii="Times New Roman" w:hAnsi="Times New Roman" w:cs="Times New Roman"/>
                <w:color w:val="auto"/>
              </w:rPr>
            </w:pPr>
            <w:r>
              <w:rPr>
                <w:rFonts w:hint="default" w:ascii="Times New Roman" w:hAnsi="Times New Roman" w:cs="Times New Roman"/>
                <w:color w:val="auto"/>
              </w:rPr>
              <w:t>1.5</w:t>
            </w:r>
          </w:p>
        </w:tc>
      </w:tr>
      <w:tr w14:paraId="652D89FC">
        <w:tblPrEx>
          <w:tblCellMar>
            <w:top w:w="0" w:type="dxa"/>
            <w:left w:w="108" w:type="dxa"/>
            <w:bottom w:w="0" w:type="dxa"/>
            <w:right w:w="108" w:type="dxa"/>
          </w:tblCellMar>
        </w:tblPrEx>
        <w:trPr>
          <w:cantSplit/>
          <w:trHeight w:val="340" w:hRule="atLeast"/>
          <w:jc w:val="center"/>
        </w:trPr>
        <w:tc>
          <w:tcPr>
            <w:tcW w:w="3024" w:type="dxa"/>
            <w:tcBorders>
              <w:top w:val="single" w:color="000000" w:sz="4" w:space="0"/>
              <w:bottom w:val="single" w:color="000000" w:sz="12" w:space="0"/>
              <w:right w:val="single" w:color="000000" w:sz="4" w:space="0"/>
            </w:tcBorders>
            <w:noWrap w:val="0"/>
            <w:vAlign w:val="center"/>
          </w:tcPr>
          <w:p w14:paraId="564BADEA">
            <w:pPr>
              <w:pStyle w:val="23"/>
              <w:bidi w:val="0"/>
              <w:rPr>
                <w:rFonts w:hint="default" w:ascii="Times New Roman" w:hAnsi="Times New Roman" w:cs="Times New Roman"/>
                <w:color w:val="auto"/>
              </w:rPr>
            </w:pPr>
            <w:r>
              <w:rPr>
                <w:rFonts w:hint="default" w:ascii="Times New Roman" w:hAnsi="Times New Roman" w:cs="Times New Roman"/>
                <w:color w:val="auto"/>
              </w:rPr>
              <w:t>12</w:t>
            </w:r>
          </w:p>
        </w:tc>
        <w:tc>
          <w:tcPr>
            <w:tcW w:w="3024" w:type="dxa"/>
            <w:tcBorders>
              <w:top w:val="single" w:color="000000" w:sz="4" w:space="0"/>
              <w:left w:val="single" w:color="000000" w:sz="4" w:space="0"/>
              <w:bottom w:val="single" w:color="000000" w:sz="12" w:space="0"/>
              <w:right w:val="single" w:color="000000" w:sz="4" w:space="0"/>
            </w:tcBorders>
            <w:noWrap w:val="0"/>
            <w:vAlign w:val="center"/>
          </w:tcPr>
          <w:p w14:paraId="324F2016">
            <w:pPr>
              <w:pStyle w:val="23"/>
              <w:bidi w:val="0"/>
              <w:rPr>
                <w:rFonts w:hint="default" w:ascii="Times New Roman" w:hAnsi="Times New Roman" w:cs="Times New Roman"/>
                <w:color w:val="auto"/>
              </w:rPr>
            </w:pPr>
            <w:r>
              <w:rPr>
                <w:rFonts w:hint="default" w:ascii="Times New Roman" w:hAnsi="Times New Roman" w:cs="Times New Roman"/>
                <w:color w:val="auto"/>
              </w:rPr>
              <w:t>硒</w:t>
            </w:r>
          </w:p>
        </w:tc>
        <w:tc>
          <w:tcPr>
            <w:tcW w:w="3023" w:type="dxa"/>
            <w:tcBorders>
              <w:top w:val="single" w:color="000000" w:sz="4" w:space="0"/>
              <w:left w:val="single" w:color="000000" w:sz="4" w:space="0"/>
              <w:bottom w:val="single" w:color="000000" w:sz="12" w:space="0"/>
            </w:tcBorders>
            <w:noWrap w:val="0"/>
            <w:vAlign w:val="center"/>
          </w:tcPr>
          <w:p w14:paraId="0D60D747">
            <w:pPr>
              <w:pStyle w:val="23"/>
              <w:bidi w:val="0"/>
              <w:rPr>
                <w:rFonts w:hint="default" w:ascii="Times New Roman" w:hAnsi="Times New Roman" w:cs="Times New Roman"/>
                <w:color w:val="auto"/>
              </w:rPr>
            </w:pPr>
            <w:r>
              <w:rPr>
                <w:rFonts w:hint="default" w:ascii="Times New Roman" w:hAnsi="Times New Roman" w:cs="Times New Roman"/>
                <w:color w:val="auto"/>
              </w:rPr>
              <w:t>0.1</w:t>
            </w:r>
          </w:p>
        </w:tc>
      </w:tr>
    </w:tbl>
    <w:p w14:paraId="184757B7">
      <w:pPr>
        <w:spacing w:line="360" w:lineRule="auto"/>
        <w:ind w:firstLine="480"/>
        <w:rPr>
          <w:rFonts w:hint="default" w:ascii="Times New Roman" w:hAnsi="Times New Roman" w:cs="Times New Roman"/>
          <w:color w:val="auto"/>
          <w:kern w:val="1"/>
          <w:u w:val="none"/>
        </w:rPr>
      </w:pPr>
      <w:bookmarkStart w:id="50" w:name="_Toc487550869"/>
      <w:bookmarkEnd w:id="50"/>
      <w:bookmarkStart w:id="51" w:name="_Toc488944471"/>
      <w:bookmarkEnd w:id="51"/>
      <w:r>
        <w:rPr>
          <w:rFonts w:hint="default" w:ascii="Times New Roman" w:hAnsi="Times New Roman" w:cs="Times New Roman"/>
          <w:color w:val="auto"/>
          <w:kern w:val="1"/>
          <w:u w:val="none"/>
        </w:rPr>
        <w:t>飞灰固化处理后的产物满足《生活垃圾焚烧飞灰污染控制技术规范(试行)》（HJ1134-2020）中的相关要求：</w:t>
      </w:r>
    </w:p>
    <w:p w14:paraId="02F6308A">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a)未经处理的飞灰采用密封包装后，可进入满足GB18598要求的刚性危险废物填埋场填埋。</w:t>
      </w:r>
    </w:p>
    <w:p w14:paraId="76ABBCA5">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b)飞灰处理产物满足GB18598入场要求的，可进入柔性危险废物填埋场填埋。</w:t>
      </w:r>
    </w:p>
    <w:p w14:paraId="560AB73D">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c)飞灰处理产物满足GB16889入场要求的，可进入生活垃圾填埋场分区填埋。进入生活垃圾填埋场填埋处置的飞灰宜选择在生活垃圾焚烧企业内进行处理。</w:t>
      </w:r>
    </w:p>
    <w:p w14:paraId="68B5BD59">
      <w:pPr>
        <w:spacing w:line="360" w:lineRule="auto"/>
        <w:ind w:firstLine="48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d)进入柔性危险废物填埋场或生活垃圾填埋场填埋的飞灰处理产物，应经检测合格后方可进行填埋。</w:t>
      </w:r>
    </w:p>
    <w:p w14:paraId="0D02DFC6">
      <w:pPr>
        <w:bidi w:val="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e)进入填埋区的飞灰或飞灰处理产物应密封包装或成型化。</w:t>
      </w:r>
    </w:p>
    <w:p w14:paraId="05E6AE7C">
      <w:pPr>
        <w:bidi w:val="0"/>
        <w:rPr>
          <w:rFonts w:hint="default" w:ascii="Times New Roman" w:hAnsi="Times New Roman" w:cs="Times New Roman"/>
          <w:color w:val="auto"/>
          <w:kern w:val="1"/>
          <w:u w:val="none"/>
        </w:rPr>
      </w:pPr>
    </w:p>
    <w:p w14:paraId="1B4A3776">
      <w:pPr>
        <w:pStyle w:val="2"/>
        <w:bidi w:val="0"/>
        <w:rPr>
          <w:rFonts w:hint="default" w:ascii="Times New Roman" w:hAnsi="Times New Roman" w:cs="Times New Roman"/>
          <w:color w:val="auto"/>
        </w:rPr>
      </w:pPr>
      <w:bookmarkStart w:id="52" w:name="_Toc5498"/>
      <w:r>
        <w:rPr>
          <w:rFonts w:hint="default" w:ascii="Times New Roman" w:hAnsi="Times New Roman" w:cs="Times New Roman"/>
          <w:color w:val="auto"/>
        </w:rPr>
        <w:t>7验收监测内容</w:t>
      </w:r>
      <w:bookmarkEnd w:id="52"/>
    </w:p>
    <w:p w14:paraId="72A9ACC3">
      <w:pPr>
        <w:pStyle w:val="3"/>
        <w:bidi w:val="0"/>
        <w:rPr>
          <w:rFonts w:hint="default" w:ascii="Times New Roman" w:hAnsi="Times New Roman" w:cs="Times New Roman"/>
          <w:color w:val="auto"/>
        </w:rPr>
      </w:pPr>
      <w:bookmarkStart w:id="53" w:name="_Toc7529"/>
      <w:r>
        <w:rPr>
          <w:rFonts w:hint="default" w:ascii="Times New Roman" w:hAnsi="Times New Roman" w:cs="Times New Roman"/>
          <w:color w:val="auto"/>
        </w:rPr>
        <w:t>7.1环境保护设施调试运行效果</w:t>
      </w:r>
      <w:bookmarkEnd w:id="53"/>
    </w:p>
    <w:p w14:paraId="12931F40">
      <w:pPr>
        <w:bidi w:val="0"/>
        <w:rPr>
          <w:rFonts w:hint="default" w:ascii="Times New Roman" w:hAnsi="Times New Roman" w:cs="Times New Roman"/>
          <w:color w:val="auto"/>
        </w:rPr>
      </w:pPr>
      <w:r>
        <w:rPr>
          <w:rFonts w:hint="default" w:ascii="Times New Roman" w:hAnsi="Times New Roman" w:cs="Times New Roman"/>
          <w:color w:val="auto"/>
          <w:lang w:val="en-US" w:eastAsia="zh-CN"/>
        </w:rPr>
        <w:t>本次扩建生产线</w:t>
      </w:r>
      <w:r>
        <w:rPr>
          <w:rFonts w:hint="default" w:ascii="Times New Roman" w:hAnsi="Times New Roman" w:cs="Times New Roman"/>
          <w:color w:val="auto"/>
        </w:rPr>
        <w:t>于202</w:t>
      </w:r>
      <w:r>
        <w:rPr>
          <w:rFonts w:hint="default" w:ascii="Times New Roman" w:hAnsi="Times New Roman" w:cs="Times New Roman"/>
          <w:color w:val="auto"/>
          <w:lang w:val="en-US" w:eastAsia="zh-CN"/>
        </w:rPr>
        <w:t>2</w:t>
      </w:r>
      <w:r>
        <w:rPr>
          <w:rFonts w:hint="default" w:ascii="Times New Roman" w:hAnsi="Times New Roman" w:cs="Times New Roman"/>
          <w:color w:val="auto"/>
        </w:rPr>
        <w:t>年</w:t>
      </w:r>
      <w:r>
        <w:rPr>
          <w:rFonts w:hint="default" w:ascii="Times New Roman" w:hAnsi="Times New Roman" w:cs="Times New Roman"/>
          <w:color w:val="auto"/>
          <w:lang w:val="en-US" w:eastAsia="zh-CN"/>
        </w:rPr>
        <w:t>2</w:t>
      </w:r>
      <w:r>
        <w:rPr>
          <w:rFonts w:hint="default" w:ascii="Times New Roman" w:hAnsi="Times New Roman" w:cs="Times New Roman"/>
          <w:color w:val="auto"/>
        </w:rPr>
        <w:t>月</w:t>
      </w:r>
      <w:r>
        <w:rPr>
          <w:rFonts w:hint="default" w:ascii="Times New Roman" w:hAnsi="Times New Roman" w:cs="Times New Roman"/>
          <w:color w:val="auto"/>
          <w:lang w:val="en-US" w:eastAsia="zh-CN"/>
        </w:rPr>
        <w:t>已建成，</w:t>
      </w:r>
      <w:r>
        <w:rPr>
          <w:rFonts w:hint="default" w:ascii="Times New Roman" w:hAnsi="Times New Roman" w:cs="Times New Roman"/>
          <w:color w:val="auto"/>
        </w:rPr>
        <w:t>根据项目环评及批复</w:t>
      </w:r>
      <w:r>
        <w:rPr>
          <w:rFonts w:hint="default" w:ascii="Times New Roman" w:hAnsi="Times New Roman" w:cs="Times New Roman"/>
          <w:color w:val="auto"/>
          <w:lang w:eastAsia="zh-CN"/>
        </w:rPr>
        <w:t>，</w:t>
      </w:r>
      <w:r>
        <w:rPr>
          <w:rFonts w:hint="default" w:ascii="Times New Roman" w:hAnsi="Times New Roman" w:cs="Times New Roman"/>
          <w:color w:val="auto"/>
        </w:rPr>
        <w:t>并结合项目实际情况</w:t>
      </w:r>
      <w:r>
        <w:rPr>
          <w:rFonts w:hint="default" w:ascii="Times New Roman" w:hAnsi="Times New Roman" w:cs="Times New Roman"/>
          <w:color w:val="auto"/>
          <w:lang w:eastAsia="zh-CN"/>
        </w:rPr>
        <w:t>，</w:t>
      </w:r>
      <w:r>
        <w:rPr>
          <w:rFonts w:hint="default" w:ascii="Times New Roman" w:hAnsi="Times New Roman" w:cs="Times New Roman"/>
          <w:color w:val="auto"/>
        </w:rPr>
        <w:t>对项目各类污染物排放进行监测。</w:t>
      </w:r>
    </w:p>
    <w:p w14:paraId="02C4F462">
      <w:pPr>
        <w:bidi w:val="0"/>
        <w:rPr>
          <w:rFonts w:hint="default" w:ascii="Times New Roman" w:hAnsi="Times New Roman" w:cs="Times New Roman"/>
          <w:color w:val="auto"/>
        </w:rPr>
      </w:pPr>
      <w:r>
        <w:rPr>
          <w:rFonts w:hint="default" w:ascii="Times New Roman" w:hAnsi="Times New Roman" w:cs="Times New Roman"/>
          <w:color w:val="auto"/>
        </w:rPr>
        <w:t>202</w:t>
      </w:r>
      <w:r>
        <w:rPr>
          <w:rFonts w:hint="default" w:ascii="Times New Roman" w:hAnsi="Times New Roman" w:cs="Times New Roman"/>
          <w:color w:val="auto"/>
          <w:lang w:val="en-US" w:eastAsia="zh-CN"/>
        </w:rPr>
        <w:t>4</w:t>
      </w:r>
      <w:r>
        <w:rPr>
          <w:rFonts w:hint="default" w:ascii="Times New Roman" w:hAnsi="Times New Roman" w:cs="Times New Roman"/>
          <w:color w:val="auto"/>
        </w:rPr>
        <w:t>年</w:t>
      </w:r>
      <w:r>
        <w:rPr>
          <w:rFonts w:hint="default" w:ascii="Times New Roman" w:hAnsi="Times New Roman" w:cs="Times New Roman"/>
          <w:color w:val="auto"/>
          <w:lang w:val="en-US" w:eastAsia="zh-CN"/>
        </w:rPr>
        <w:t>9</w:t>
      </w:r>
      <w:r>
        <w:rPr>
          <w:rFonts w:hint="default" w:ascii="Times New Roman" w:hAnsi="Times New Roman" w:cs="Times New Roman"/>
          <w:color w:val="auto"/>
        </w:rPr>
        <w:t>月</w:t>
      </w:r>
      <w:r>
        <w:rPr>
          <w:rFonts w:hint="default" w:ascii="Times New Roman" w:hAnsi="Times New Roman" w:cs="Times New Roman"/>
          <w:color w:val="auto"/>
          <w:lang w:val="en-US" w:eastAsia="zh-CN"/>
        </w:rPr>
        <w:t>4</w:t>
      </w:r>
      <w:r>
        <w:rPr>
          <w:rFonts w:hint="default" w:ascii="Times New Roman" w:hAnsi="Times New Roman" w:cs="Times New Roman"/>
          <w:color w:val="auto"/>
        </w:rPr>
        <w:t>日</w:t>
      </w:r>
      <w:r>
        <w:rPr>
          <w:rFonts w:hint="default" w:ascii="Times New Roman" w:hAnsi="Times New Roman" w:cs="Times New Roman"/>
          <w:color w:val="auto"/>
          <w:lang w:val="en-US" w:eastAsia="zh-CN"/>
        </w:rPr>
        <w:t>、9</w:t>
      </w:r>
      <w:r>
        <w:rPr>
          <w:rFonts w:hint="default" w:ascii="Times New Roman" w:hAnsi="Times New Roman" w:cs="Times New Roman"/>
          <w:color w:val="auto"/>
        </w:rPr>
        <w:t>月</w:t>
      </w:r>
      <w:r>
        <w:rPr>
          <w:rFonts w:hint="default" w:ascii="Times New Roman" w:hAnsi="Times New Roman" w:cs="Times New Roman"/>
          <w:color w:val="auto"/>
          <w:lang w:val="en-US" w:eastAsia="zh-CN"/>
        </w:rPr>
        <w:t>5</w:t>
      </w:r>
      <w:r>
        <w:rPr>
          <w:rFonts w:hint="default" w:ascii="Times New Roman" w:hAnsi="Times New Roman" w:cs="Times New Roman"/>
          <w:color w:val="auto"/>
        </w:rPr>
        <w:t>日</w:t>
      </w:r>
      <w:r>
        <w:rPr>
          <w:rFonts w:hint="default" w:ascii="Times New Roman" w:hAnsi="Times New Roman" w:cs="Times New Roman"/>
          <w:color w:val="auto"/>
          <w:lang w:eastAsia="zh-CN"/>
        </w:rPr>
        <w:t>，</w:t>
      </w:r>
      <w:r>
        <w:rPr>
          <w:rFonts w:hint="default" w:ascii="Times New Roman" w:hAnsi="Times New Roman" w:cs="Times New Roman"/>
          <w:color w:val="auto"/>
        </w:rPr>
        <w:t>委托福建</w:t>
      </w:r>
      <w:r>
        <w:rPr>
          <w:rFonts w:hint="default" w:ascii="Times New Roman" w:hAnsi="Times New Roman" w:cs="Times New Roman"/>
          <w:color w:val="auto"/>
          <w:lang w:val="en-US" w:eastAsia="zh-CN"/>
        </w:rPr>
        <w:t>中凯</w:t>
      </w:r>
      <w:r>
        <w:rPr>
          <w:rFonts w:hint="default" w:ascii="Times New Roman" w:hAnsi="Times New Roman" w:cs="Times New Roman"/>
          <w:color w:val="auto"/>
        </w:rPr>
        <w:t>检测技术有限公司对项目进行了竣工验收现场监测并出具检测报告</w:t>
      </w:r>
      <w:r>
        <w:rPr>
          <w:rFonts w:hint="default" w:ascii="Times New Roman" w:hAnsi="Times New Roman" w:cs="Times New Roman"/>
          <w:color w:val="auto"/>
          <w:lang w:eastAsia="zh-CN"/>
        </w:rPr>
        <w:t>，</w:t>
      </w:r>
      <w:r>
        <w:rPr>
          <w:rFonts w:hint="default" w:ascii="Times New Roman" w:hAnsi="Times New Roman" w:cs="Times New Roman"/>
          <w:color w:val="auto"/>
        </w:rPr>
        <w:t>监测了有组织废气、无组织废气、厂界噪声。</w:t>
      </w:r>
    </w:p>
    <w:p w14:paraId="5B15BD14">
      <w:pPr>
        <w:pStyle w:val="4"/>
        <w:bidi w:val="0"/>
        <w:rPr>
          <w:rFonts w:hint="default" w:ascii="Times New Roman" w:hAnsi="Times New Roman" w:cs="Times New Roman"/>
          <w:color w:val="auto"/>
          <w:lang w:val="en-US" w:eastAsia="zh-CN"/>
        </w:rPr>
      </w:pPr>
      <w:bookmarkStart w:id="54" w:name="_Toc10660"/>
      <w:r>
        <w:rPr>
          <w:rFonts w:hint="default" w:ascii="Times New Roman" w:hAnsi="Times New Roman" w:cs="Times New Roman"/>
          <w:color w:val="auto"/>
        </w:rPr>
        <w:t>7.1.1</w:t>
      </w:r>
      <w:r>
        <w:rPr>
          <w:rFonts w:hint="default" w:ascii="Times New Roman" w:hAnsi="Times New Roman" w:cs="Times New Roman"/>
          <w:color w:val="auto"/>
          <w:lang w:val="en-US" w:eastAsia="zh-CN"/>
        </w:rPr>
        <w:t>废气</w:t>
      </w:r>
      <w:bookmarkEnd w:id="54"/>
    </w:p>
    <w:p w14:paraId="3E6D2B9A">
      <w:pPr>
        <w:bidi w:val="0"/>
        <w:rPr>
          <w:rFonts w:hint="default"/>
          <w:color w:val="auto"/>
        </w:rPr>
      </w:pPr>
      <w:r>
        <w:rPr>
          <w:rFonts w:hint="default"/>
          <w:color w:val="auto"/>
        </w:rPr>
        <w:t>本次</w:t>
      </w:r>
      <w:r>
        <w:rPr>
          <w:rFonts w:hint="eastAsia"/>
          <w:color w:val="auto"/>
          <w:lang w:val="en-US" w:eastAsia="zh-CN"/>
        </w:rPr>
        <w:t>有组织</w:t>
      </w:r>
      <w:r>
        <w:rPr>
          <w:rFonts w:hint="default"/>
          <w:color w:val="auto"/>
          <w:lang w:val="en-US" w:eastAsia="zh-CN"/>
        </w:rPr>
        <w:t>废气</w:t>
      </w:r>
      <w:r>
        <w:rPr>
          <w:rFonts w:hint="default"/>
          <w:color w:val="auto"/>
        </w:rPr>
        <w:t>监测</w:t>
      </w:r>
      <w:r>
        <w:rPr>
          <w:rFonts w:hint="default"/>
          <w:color w:val="auto"/>
          <w:lang w:val="en-US" w:eastAsia="zh-CN"/>
        </w:rPr>
        <w:t>委托</w:t>
      </w:r>
      <w:r>
        <w:rPr>
          <w:rFonts w:hint="default"/>
          <w:color w:val="auto"/>
        </w:rPr>
        <w:t>福建</w:t>
      </w:r>
      <w:r>
        <w:rPr>
          <w:rFonts w:hint="default"/>
          <w:color w:val="auto"/>
          <w:lang w:val="en-US" w:eastAsia="zh-CN"/>
        </w:rPr>
        <w:t>中凯</w:t>
      </w:r>
      <w:r>
        <w:rPr>
          <w:rFonts w:hint="default"/>
          <w:color w:val="auto"/>
        </w:rPr>
        <w:t>检测技术有限公司</w:t>
      </w:r>
      <w:r>
        <w:rPr>
          <w:rFonts w:hint="default"/>
          <w:color w:val="auto"/>
          <w:lang w:val="en-US" w:eastAsia="zh-CN"/>
        </w:rPr>
        <w:t>于2024年9月4日、9月5日监测2天</w:t>
      </w:r>
      <w:r>
        <w:rPr>
          <w:rFonts w:hint="default"/>
          <w:color w:val="auto"/>
        </w:rPr>
        <w:t>（CMA证书</w:t>
      </w:r>
      <w:r>
        <w:rPr>
          <w:rFonts w:hint="default"/>
          <w:color w:val="auto"/>
          <w:lang w:val="en-US" w:eastAsia="zh-CN"/>
        </w:rPr>
        <w:t>编</w:t>
      </w:r>
      <w:r>
        <w:rPr>
          <w:rFonts w:hint="default"/>
          <w:color w:val="auto"/>
        </w:rPr>
        <w:t>号：</w:t>
      </w:r>
      <w:r>
        <w:rPr>
          <w:rFonts w:hint="default"/>
          <w:color w:val="auto"/>
          <w:lang w:val="en-US" w:eastAsia="zh-CN"/>
        </w:rPr>
        <w:t>23132034A007</w:t>
      </w:r>
      <w:r>
        <w:rPr>
          <w:rFonts w:hint="default"/>
          <w:color w:val="auto"/>
          <w:lang w:eastAsia="zh-CN"/>
        </w:rPr>
        <w:t>，</w:t>
      </w:r>
      <w:r>
        <w:rPr>
          <w:rFonts w:hint="default"/>
          <w:color w:val="auto"/>
        </w:rPr>
        <w:t>报告编号：</w:t>
      </w:r>
      <w:r>
        <w:rPr>
          <w:rFonts w:hint="default"/>
          <w:color w:val="auto"/>
          <w:lang w:val="en-US" w:eastAsia="zh-CN"/>
        </w:rPr>
        <w:t>ZK24082852H01</w:t>
      </w:r>
      <w:r>
        <w:rPr>
          <w:rFonts w:hint="default"/>
          <w:color w:val="auto"/>
        </w:rPr>
        <w:t>）</w:t>
      </w:r>
      <w:r>
        <w:rPr>
          <w:rFonts w:hint="eastAsia"/>
          <w:color w:val="auto"/>
          <w:lang w:eastAsia="zh-CN"/>
        </w:rPr>
        <w:t>，</w:t>
      </w:r>
      <w:r>
        <w:rPr>
          <w:rFonts w:hint="eastAsia"/>
          <w:color w:val="auto"/>
          <w:lang w:val="en-US" w:eastAsia="zh-CN"/>
        </w:rPr>
        <w:t>无组织</w:t>
      </w:r>
      <w:r>
        <w:rPr>
          <w:rFonts w:hint="default"/>
          <w:color w:val="auto"/>
          <w:lang w:val="en-US" w:eastAsia="zh-CN"/>
        </w:rPr>
        <w:t>废气</w:t>
      </w:r>
      <w:r>
        <w:rPr>
          <w:rFonts w:hint="default"/>
          <w:color w:val="auto"/>
        </w:rPr>
        <w:t>监测</w:t>
      </w:r>
      <w:r>
        <w:rPr>
          <w:rFonts w:hint="default"/>
          <w:color w:val="auto"/>
          <w:lang w:val="en-US" w:eastAsia="zh-CN"/>
        </w:rPr>
        <w:t>委托</w:t>
      </w:r>
      <w:r>
        <w:rPr>
          <w:rFonts w:hint="default"/>
          <w:color w:val="auto"/>
        </w:rPr>
        <w:t>福建</w:t>
      </w:r>
      <w:r>
        <w:rPr>
          <w:rFonts w:hint="default"/>
          <w:color w:val="auto"/>
          <w:lang w:val="en-US" w:eastAsia="zh-CN"/>
        </w:rPr>
        <w:t>中凯</w:t>
      </w:r>
      <w:r>
        <w:rPr>
          <w:rFonts w:hint="default"/>
          <w:color w:val="auto"/>
        </w:rPr>
        <w:t>检测技术有限公司</w:t>
      </w:r>
      <w:r>
        <w:rPr>
          <w:rFonts w:hint="default"/>
          <w:color w:val="auto"/>
          <w:lang w:val="en-US" w:eastAsia="zh-CN"/>
        </w:rPr>
        <w:t>于2024年</w:t>
      </w:r>
      <w:r>
        <w:rPr>
          <w:rFonts w:hint="eastAsia"/>
          <w:color w:val="auto"/>
          <w:lang w:val="en-US" w:eastAsia="zh-CN"/>
        </w:rPr>
        <w:t>10</w:t>
      </w:r>
      <w:r>
        <w:rPr>
          <w:rFonts w:hint="default"/>
          <w:color w:val="auto"/>
          <w:lang w:val="en-US" w:eastAsia="zh-CN"/>
        </w:rPr>
        <w:t>月</w:t>
      </w:r>
      <w:r>
        <w:rPr>
          <w:rFonts w:hint="eastAsia"/>
          <w:color w:val="auto"/>
          <w:lang w:val="en-US" w:eastAsia="zh-CN"/>
        </w:rPr>
        <w:t>10</w:t>
      </w:r>
      <w:r>
        <w:rPr>
          <w:rFonts w:hint="default"/>
          <w:color w:val="auto"/>
          <w:lang w:val="en-US" w:eastAsia="zh-CN"/>
        </w:rPr>
        <w:t>日、</w:t>
      </w:r>
      <w:r>
        <w:rPr>
          <w:rFonts w:hint="eastAsia"/>
          <w:color w:val="auto"/>
          <w:lang w:val="en-US" w:eastAsia="zh-CN"/>
        </w:rPr>
        <w:t>10</w:t>
      </w:r>
      <w:r>
        <w:rPr>
          <w:rFonts w:hint="default"/>
          <w:color w:val="auto"/>
          <w:lang w:val="en-US" w:eastAsia="zh-CN"/>
        </w:rPr>
        <w:t>月</w:t>
      </w:r>
      <w:r>
        <w:rPr>
          <w:rFonts w:hint="eastAsia"/>
          <w:color w:val="auto"/>
          <w:lang w:val="en-US" w:eastAsia="zh-CN"/>
        </w:rPr>
        <w:t>11</w:t>
      </w:r>
      <w:r>
        <w:rPr>
          <w:rFonts w:hint="default"/>
          <w:color w:val="auto"/>
          <w:lang w:val="en-US" w:eastAsia="zh-CN"/>
        </w:rPr>
        <w:t>日监测2天</w:t>
      </w:r>
      <w:r>
        <w:rPr>
          <w:rFonts w:hint="default"/>
          <w:color w:val="auto"/>
        </w:rPr>
        <w:t>（报告编号：</w:t>
      </w:r>
      <w:r>
        <w:rPr>
          <w:rFonts w:hint="default"/>
          <w:color w:val="auto"/>
          <w:lang w:val="en-US" w:eastAsia="zh-CN"/>
        </w:rPr>
        <w:t>ZK24</w:t>
      </w:r>
      <w:r>
        <w:rPr>
          <w:rFonts w:hint="eastAsia"/>
          <w:color w:val="auto"/>
          <w:lang w:val="en-US" w:eastAsia="zh-CN"/>
        </w:rPr>
        <w:t>100815H01</w:t>
      </w:r>
      <w:r>
        <w:rPr>
          <w:rFonts w:hint="default"/>
          <w:color w:val="auto"/>
        </w:rPr>
        <w:t>）。</w:t>
      </w:r>
      <w:r>
        <w:rPr>
          <w:rFonts w:hint="default"/>
          <w:color w:val="auto"/>
          <w:lang w:val="en-US" w:eastAsia="zh-CN"/>
        </w:rPr>
        <w:t>监测</w:t>
      </w:r>
      <w:r>
        <w:rPr>
          <w:rFonts w:hint="default"/>
          <w:color w:val="auto"/>
        </w:rPr>
        <w:t>点位详见图7.</w:t>
      </w:r>
      <w:r>
        <w:rPr>
          <w:rFonts w:hint="default"/>
          <w:color w:val="auto"/>
          <w:lang w:val="en-US" w:eastAsia="zh-CN"/>
        </w:rPr>
        <w:t>1</w:t>
      </w:r>
      <w:r>
        <w:rPr>
          <w:rFonts w:hint="default"/>
          <w:color w:val="auto"/>
        </w:rPr>
        <w:t>-1。监测因子和频次见表7</w:t>
      </w:r>
      <w:r>
        <w:rPr>
          <w:rFonts w:hint="default"/>
          <w:color w:val="auto"/>
          <w:lang w:val="en-US" w:eastAsia="zh-CN"/>
        </w:rPr>
        <w:t>.1</w:t>
      </w:r>
      <w:r>
        <w:rPr>
          <w:rFonts w:hint="default"/>
          <w:color w:val="auto"/>
        </w:rPr>
        <w:t>-</w:t>
      </w:r>
      <w:r>
        <w:rPr>
          <w:rFonts w:hint="default"/>
          <w:color w:val="auto"/>
          <w:lang w:val="en-US" w:eastAsia="zh-CN"/>
        </w:rPr>
        <w:t>1</w:t>
      </w:r>
      <w:r>
        <w:rPr>
          <w:rFonts w:hint="default"/>
          <w:color w:val="auto"/>
        </w:rPr>
        <w:t>。</w:t>
      </w:r>
    </w:p>
    <w:p w14:paraId="25F5B0EC">
      <w:pPr>
        <w:pStyle w:val="21"/>
        <w:bidi w:val="0"/>
        <w:rPr>
          <w:rFonts w:hint="default"/>
          <w:color w:val="auto"/>
        </w:rPr>
      </w:pPr>
      <w:r>
        <w:rPr>
          <w:rFonts w:hint="default"/>
          <w:color w:val="auto"/>
        </w:rPr>
        <w:t>表7</w:t>
      </w:r>
      <w:r>
        <w:rPr>
          <w:rFonts w:hint="default"/>
          <w:color w:val="auto"/>
          <w:lang w:val="en-US" w:eastAsia="zh-CN"/>
        </w:rPr>
        <w:t>.1</w:t>
      </w:r>
      <w:r>
        <w:rPr>
          <w:rFonts w:hint="default"/>
          <w:color w:val="auto"/>
        </w:rPr>
        <w:t>-1</w:t>
      </w:r>
      <w:r>
        <w:rPr>
          <w:rFonts w:hint="default"/>
          <w:color w:val="auto"/>
          <w:lang w:val="en-US" w:eastAsia="zh-CN"/>
        </w:rPr>
        <w:t xml:space="preserve"> </w:t>
      </w:r>
      <w:r>
        <w:rPr>
          <w:rFonts w:hint="default"/>
          <w:color w:val="auto"/>
        </w:rPr>
        <w:t>废气监测点位、因子和频率</w:t>
      </w:r>
    </w:p>
    <w:tbl>
      <w:tblPr>
        <w:tblStyle w:val="20"/>
        <w:tblW w:w="9071" w:type="dxa"/>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0" w:type="dxa"/>
          <w:bottom w:w="0" w:type="dxa"/>
          <w:right w:w="0" w:type="dxa"/>
        </w:tblCellMar>
      </w:tblPr>
      <w:tblGrid>
        <w:gridCol w:w="1239"/>
        <w:gridCol w:w="1494"/>
        <w:gridCol w:w="2037"/>
        <w:gridCol w:w="1717"/>
        <w:gridCol w:w="2584"/>
      </w:tblGrid>
      <w:tr w14:paraId="75F8187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39" w:type="dxa"/>
            <w:tcBorders>
              <w:top w:val="single" w:color="000000" w:sz="10" w:space="0"/>
              <w:left w:val="nil"/>
            </w:tcBorders>
            <w:vAlign w:val="center"/>
          </w:tcPr>
          <w:p w14:paraId="0FA480A0">
            <w:pPr>
              <w:pStyle w:val="23"/>
              <w:bidi w:val="0"/>
              <w:rPr>
                <w:rFonts w:hint="default" w:ascii="Times New Roman" w:hAnsi="Times New Roman" w:cs="Times New Roman"/>
                <w:color w:val="auto"/>
              </w:rPr>
            </w:pPr>
            <w:r>
              <w:rPr>
                <w:rFonts w:hint="default" w:ascii="Times New Roman" w:hAnsi="Times New Roman" w:cs="Times New Roman"/>
                <w:color w:val="auto"/>
              </w:rPr>
              <w:t>类别</w:t>
            </w:r>
          </w:p>
        </w:tc>
        <w:tc>
          <w:tcPr>
            <w:tcW w:w="1494" w:type="dxa"/>
            <w:tcBorders>
              <w:top w:val="single" w:color="000000" w:sz="10" w:space="0"/>
            </w:tcBorders>
            <w:vAlign w:val="center"/>
          </w:tcPr>
          <w:p w14:paraId="58D64C02">
            <w:pPr>
              <w:pStyle w:val="23"/>
              <w:bidi w:val="0"/>
              <w:rPr>
                <w:rFonts w:hint="default" w:ascii="Times New Roman" w:hAnsi="Times New Roman" w:cs="Times New Roman"/>
                <w:color w:val="auto"/>
              </w:rPr>
            </w:pPr>
            <w:r>
              <w:rPr>
                <w:rFonts w:hint="default" w:ascii="Times New Roman" w:hAnsi="Times New Roman" w:cs="Times New Roman"/>
                <w:color w:val="auto"/>
              </w:rPr>
              <w:t>污染源</w:t>
            </w:r>
          </w:p>
        </w:tc>
        <w:tc>
          <w:tcPr>
            <w:tcW w:w="2037" w:type="dxa"/>
            <w:tcBorders>
              <w:top w:val="single" w:color="000000" w:sz="10" w:space="0"/>
            </w:tcBorders>
            <w:vAlign w:val="center"/>
          </w:tcPr>
          <w:p w14:paraId="57A5DF25">
            <w:pPr>
              <w:pStyle w:val="23"/>
              <w:bidi w:val="0"/>
              <w:rPr>
                <w:rFonts w:hint="default" w:ascii="Times New Roman" w:hAnsi="Times New Roman" w:cs="Times New Roman"/>
                <w:color w:val="auto"/>
              </w:rPr>
            </w:pPr>
            <w:r>
              <w:rPr>
                <w:rFonts w:hint="default" w:ascii="Times New Roman" w:hAnsi="Times New Roman" w:cs="Times New Roman"/>
                <w:color w:val="auto"/>
              </w:rPr>
              <w:t>环保设施及采样点位</w:t>
            </w:r>
          </w:p>
        </w:tc>
        <w:tc>
          <w:tcPr>
            <w:tcW w:w="1717" w:type="dxa"/>
            <w:tcBorders>
              <w:top w:val="single" w:color="000000" w:sz="10" w:space="0"/>
            </w:tcBorders>
            <w:vAlign w:val="center"/>
          </w:tcPr>
          <w:p w14:paraId="28A7C297">
            <w:pPr>
              <w:pStyle w:val="23"/>
              <w:bidi w:val="0"/>
              <w:rPr>
                <w:rFonts w:hint="default" w:ascii="Times New Roman" w:hAnsi="Times New Roman" w:cs="Times New Roman"/>
                <w:color w:val="auto"/>
              </w:rPr>
            </w:pPr>
            <w:r>
              <w:rPr>
                <w:rFonts w:hint="default" w:ascii="Times New Roman" w:hAnsi="Times New Roman" w:cs="Times New Roman"/>
                <w:color w:val="auto"/>
              </w:rPr>
              <w:t>监测因子</w:t>
            </w:r>
          </w:p>
        </w:tc>
        <w:tc>
          <w:tcPr>
            <w:tcW w:w="2584" w:type="dxa"/>
            <w:tcBorders>
              <w:top w:val="single" w:color="000000" w:sz="10" w:space="0"/>
              <w:right w:val="nil"/>
            </w:tcBorders>
            <w:vAlign w:val="center"/>
          </w:tcPr>
          <w:p w14:paraId="57F2EF64">
            <w:pPr>
              <w:pStyle w:val="23"/>
              <w:bidi w:val="0"/>
              <w:rPr>
                <w:rFonts w:hint="default" w:ascii="Times New Roman" w:hAnsi="Times New Roman" w:cs="Times New Roman"/>
                <w:color w:val="auto"/>
              </w:rPr>
            </w:pPr>
            <w:r>
              <w:rPr>
                <w:rFonts w:hint="default" w:ascii="Times New Roman" w:hAnsi="Times New Roman" w:cs="Times New Roman"/>
                <w:color w:val="auto"/>
              </w:rPr>
              <w:t>监测频次</w:t>
            </w:r>
          </w:p>
        </w:tc>
      </w:tr>
      <w:tr w14:paraId="6984EEE1">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1239" w:type="dxa"/>
            <w:tcBorders>
              <w:left w:val="nil"/>
            </w:tcBorders>
            <w:vAlign w:val="center"/>
          </w:tcPr>
          <w:p w14:paraId="36F84BA4">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有组织废气</w:t>
            </w:r>
          </w:p>
        </w:tc>
        <w:tc>
          <w:tcPr>
            <w:tcW w:w="1494" w:type="dxa"/>
            <w:vAlign w:val="center"/>
          </w:tcPr>
          <w:p w14:paraId="628E8607">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排气筒DA001</w:t>
            </w:r>
          </w:p>
        </w:tc>
        <w:tc>
          <w:tcPr>
            <w:tcW w:w="2037" w:type="dxa"/>
            <w:vAlign w:val="center"/>
          </w:tcPr>
          <w:p w14:paraId="15C082CF">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G1</w:t>
            </w:r>
          </w:p>
        </w:tc>
        <w:tc>
          <w:tcPr>
            <w:tcW w:w="1717" w:type="dxa"/>
            <w:vMerge w:val="restart"/>
            <w:vAlign w:val="center"/>
          </w:tcPr>
          <w:p w14:paraId="07DD2213">
            <w:pPr>
              <w:pStyle w:val="23"/>
              <w:bidi w:val="0"/>
              <w:rPr>
                <w:rFonts w:hint="default" w:ascii="Times New Roman" w:hAnsi="Times New Roman" w:cs="Times New Roman"/>
                <w:color w:val="auto"/>
              </w:rPr>
            </w:pPr>
            <w:r>
              <w:rPr>
                <w:rFonts w:hint="default" w:ascii="Times New Roman" w:hAnsi="Times New Roman" w:cs="Times New Roman"/>
                <w:color w:val="auto"/>
              </w:rPr>
              <w:t>颗粒物</w:t>
            </w:r>
          </w:p>
        </w:tc>
        <w:tc>
          <w:tcPr>
            <w:tcW w:w="2584" w:type="dxa"/>
            <w:tcBorders>
              <w:right w:val="nil"/>
            </w:tcBorders>
            <w:vAlign w:val="center"/>
          </w:tcPr>
          <w:p w14:paraId="6600D55D">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每天3次，2天</w:t>
            </w:r>
          </w:p>
        </w:tc>
      </w:tr>
      <w:tr w14:paraId="095D04D3">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39" w:type="dxa"/>
            <w:vMerge w:val="restart"/>
            <w:tcBorders>
              <w:left w:val="nil"/>
            </w:tcBorders>
            <w:vAlign w:val="center"/>
          </w:tcPr>
          <w:p w14:paraId="4FC480B9">
            <w:pPr>
              <w:pStyle w:val="23"/>
              <w:bidi w:val="0"/>
              <w:rPr>
                <w:rFonts w:hint="default" w:ascii="Times New Roman" w:hAnsi="Times New Roman" w:cs="Times New Roman"/>
                <w:color w:val="auto"/>
                <w:lang w:eastAsia="zh-CN"/>
              </w:rPr>
            </w:pPr>
            <w:r>
              <w:rPr>
                <w:rFonts w:hint="default" w:ascii="Times New Roman" w:hAnsi="Times New Roman" w:cs="Times New Roman"/>
                <w:color w:val="auto"/>
              </w:rPr>
              <w:t>无组织</w:t>
            </w:r>
            <w:r>
              <w:rPr>
                <w:rFonts w:hint="default" w:ascii="Times New Roman" w:hAnsi="Times New Roman" w:cs="Times New Roman"/>
                <w:color w:val="auto"/>
                <w:lang w:val="en-US" w:eastAsia="zh-CN"/>
              </w:rPr>
              <w:t>废气</w:t>
            </w:r>
          </w:p>
        </w:tc>
        <w:tc>
          <w:tcPr>
            <w:tcW w:w="1494" w:type="dxa"/>
            <w:vAlign w:val="center"/>
          </w:tcPr>
          <w:p w14:paraId="62693BF3">
            <w:pPr>
              <w:pStyle w:val="23"/>
              <w:bidi w:val="0"/>
              <w:rPr>
                <w:rFonts w:hint="default" w:ascii="Times New Roman" w:hAnsi="Times New Roman" w:cs="Times New Roman"/>
                <w:color w:val="auto"/>
              </w:rPr>
            </w:pPr>
            <w:r>
              <w:rPr>
                <w:rFonts w:hint="default" w:ascii="Times New Roman" w:hAnsi="Times New Roman" w:cs="Times New Roman"/>
                <w:color w:val="auto"/>
              </w:rPr>
              <w:t>上风向</w:t>
            </w:r>
          </w:p>
        </w:tc>
        <w:tc>
          <w:tcPr>
            <w:tcW w:w="2037" w:type="dxa"/>
            <w:vAlign w:val="center"/>
          </w:tcPr>
          <w:p w14:paraId="2E73F9D8">
            <w:pPr>
              <w:pStyle w:val="23"/>
              <w:bidi w:val="0"/>
              <w:rPr>
                <w:rFonts w:hint="default" w:ascii="Times New Roman" w:hAnsi="Times New Roman" w:cs="Times New Roman"/>
                <w:color w:val="auto"/>
                <w:lang w:val="en-US"/>
              </w:rPr>
            </w:pPr>
            <w:r>
              <w:rPr>
                <w:rFonts w:hint="default" w:ascii="Times New Roman" w:hAnsi="Times New Roman" w:cs="Times New Roman"/>
                <w:color w:val="auto"/>
                <w:lang w:val="en-US" w:eastAsia="zh-CN"/>
              </w:rPr>
              <w:t>G2</w:t>
            </w:r>
          </w:p>
        </w:tc>
        <w:tc>
          <w:tcPr>
            <w:tcW w:w="1717" w:type="dxa"/>
            <w:vMerge w:val="continue"/>
            <w:vAlign w:val="center"/>
          </w:tcPr>
          <w:p w14:paraId="4C806352">
            <w:pPr>
              <w:pStyle w:val="23"/>
              <w:bidi w:val="0"/>
              <w:rPr>
                <w:rFonts w:hint="default" w:ascii="Times New Roman" w:hAnsi="Times New Roman" w:cs="Times New Roman"/>
                <w:color w:val="auto"/>
              </w:rPr>
            </w:pPr>
          </w:p>
        </w:tc>
        <w:tc>
          <w:tcPr>
            <w:tcW w:w="2584" w:type="dxa"/>
            <w:vMerge w:val="restart"/>
            <w:tcBorders>
              <w:right w:val="nil"/>
            </w:tcBorders>
            <w:vAlign w:val="center"/>
          </w:tcPr>
          <w:p w14:paraId="4F805DDE">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每天4次，2天</w:t>
            </w:r>
          </w:p>
        </w:tc>
      </w:tr>
      <w:tr w14:paraId="2B6BCDA9">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39" w:type="dxa"/>
            <w:vMerge w:val="continue"/>
            <w:tcBorders>
              <w:left w:val="nil"/>
            </w:tcBorders>
            <w:vAlign w:val="center"/>
          </w:tcPr>
          <w:p w14:paraId="4747959D">
            <w:pPr>
              <w:pStyle w:val="23"/>
              <w:bidi w:val="0"/>
              <w:rPr>
                <w:rFonts w:hint="default" w:ascii="Times New Roman" w:hAnsi="Times New Roman" w:cs="Times New Roman"/>
                <w:color w:val="auto"/>
              </w:rPr>
            </w:pPr>
          </w:p>
        </w:tc>
        <w:tc>
          <w:tcPr>
            <w:tcW w:w="1494" w:type="dxa"/>
            <w:vAlign w:val="center"/>
          </w:tcPr>
          <w:p w14:paraId="56399112">
            <w:pPr>
              <w:pStyle w:val="23"/>
              <w:bidi w:val="0"/>
              <w:rPr>
                <w:rFonts w:hint="default" w:ascii="Times New Roman" w:hAnsi="Times New Roman" w:cs="Times New Roman"/>
                <w:color w:val="auto"/>
              </w:rPr>
            </w:pPr>
            <w:r>
              <w:rPr>
                <w:rFonts w:hint="default" w:ascii="Times New Roman" w:hAnsi="Times New Roman" w:cs="Times New Roman"/>
                <w:color w:val="auto"/>
              </w:rPr>
              <w:t>下风向</w:t>
            </w:r>
          </w:p>
        </w:tc>
        <w:tc>
          <w:tcPr>
            <w:tcW w:w="2037" w:type="dxa"/>
            <w:vAlign w:val="center"/>
          </w:tcPr>
          <w:p w14:paraId="5383F7F5">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G3</w:t>
            </w:r>
          </w:p>
        </w:tc>
        <w:tc>
          <w:tcPr>
            <w:tcW w:w="1717" w:type="dxa"/>
            <w:vMerge w:val="continue"/>
            <w:vAlign w:val="center"/>
          </w:tcPr>
          <w:p w14:paraId="1DCE63CE">
            <w:pPr>
              <w:pStyle w:val="23"/>
              <w:bidi w:val="0"/>
              <w:rPr>
                <w:rFonts w:hint="default" w:ascii="Times New Roman" w:hAnsi="Times New Roman" w:cs="Times New Roman"/>
                <w:color w:val="auto"/>
              </w:rPr>
            </w:pPr>
          </w:p>
        </w:tc>
        <w:tc>
          <w:tcPr>
            <w:tcW w:w="2584" w:type="dxa"/>
            <w:vMerge w:val="continue"/>
            <w:tcBorders>
              <w:right w:val="nil"/>
            </w:tcBorders>
            <w:vAlign w:val="center"/>
          </w:tcPr>
          <w:p w14:paraId="798DEF8E">
            <w:pPr>
              <w:pStyle w:val="23"/>
              <w:bidi w:val="0"/>
              <w:rPr>
                <w:rFonts w:hint="default" w:ascii="Times New Roman" w:hAnsi="Times New Roman" w:cs="Times New Roman"/>
                <w:color w:val="auto"/>
              </w:rPr>
            </w:pPr>
          </w:p>
        </w:tc>
      </w:tr>
      <w:tr w14:paraId="2C7B7C40">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39" w:type="dxa"/>
            <w:vMerge w:val="continue"/>
            <w:tcBorders>
              <w:left w:val="nil"/>
            </w:tcBorders>
            <w:vAlign w:val="center"/>
          </w:tcPr>
          <w:p w14:paraId="65B82E40">
            <w:pPr>
              <w:pStyle w:val="23"/>
              <w:bidi w:val="0"/>
              <w:rPr>
                <w:rFonts w:hint="default" w:ascii="Times New Roman" w:hAnsi="Times New Roman" w:cs="Times New Roman"/>
                <w:color w:val="auto"/>
              </w:rPr>
            </w:pPr>
          </w:p>
        </w:tc>
        <w:tc>
          <w:tcPr>
            <w:tcW w:w="1494" w:type="dxa"/>
            <w:vAlign w:val="center"/>
          </w:tcPr>
          <w:p w14:paraId="58E31B07">
            <w:pPr>
              <w:pStyle w:val="23"/>
              <w:bidi w:val="0"/>
              <w:rPr>
                <w:rFonts w:hint="default" w:ascii="Times New Roman" w:hAnsi="Times New Roman" w:cs="Times New Roman"/>
                <w:color w:val="auto"/>
              </w:rPr>
            </w:pPr>
            <w:r>
              <w:rPr>
                <w:rFonts w:hint="default" w:ascii="Times New Roman" w:hAnsi="Times New Roman" w:cs="Times New Roman"/>
                <w:color w:val="auto"/>
              </w:rPr>
              <w:t>下风向</w:t>
            </w:r>
          </w:p>
        </w:tc>
        <w:tc>
          <w:tcPr>
            <w:tcW w:w="2037" w:type="dxa"/>
            <w:vAlign w:val="center"/>
          </w:tcPr>
          <w:p w14:paraId="52552C46">
            <w:pPr>
              <w:pStyle w:val="23"/>
              <w:bidi w:val="0"/>
              <w:rPr>
                <w:rFonts w:hint="default" w:ascii="Times New Roman" w:hAnsi="Times New Roman" w:cs="Times New Roman"/>
                <w:color w:val="auto"/>
                <w:lang w:val="en-US"/>
              </w:rPr>
            </w:pPr>
            <w:r>
              <w:rPr>
                <w:rFonts w:hint="default" w:ascii="Times New Roman" w:hAnsi="Times New Roman" w:cs="Times New Roman"/>
                <w:color w:val="auto"/>
                <w:lang w:val="en-US" w:eastAsia="zh-CN"/>
              </w:rPr>
              <w:t>G4</w:t>
            </w:r>
          </w:p>
        </w:tc>
        <w:tc>
          <w:tcPr>
            <w:tcW w:w="1717" w:type="dxa"/>
            <w:vMerge w:val="continue"/>
            <w:vAlign w:val="center"/>
          </w:tcPr>
          <w:p w14:paraId="406811CF">
            <w:pPr>
              <w:pStyle w:val="23"/>
              <w:bidi w:val="0"/>
              <w:rPr>
                <w:rFonts w:hint="default" w:ascii="Times New Roman" w:hAnsi="Times New Roman" w:cs="Times New Roman"/>
                <w:color w:val="auto"/>
              </w:rPr>
            </w:pPr>
          </w:p>
        </w:tc>
        <w:tc>
          <w:tcPr>
            <w:tcW w:w="2584" w:type="dxa"/>
            <w:vMerge w:val="continue"/>
            <w:tcBorders>
              <w:right w:val="nil"/>
            </w:tcBorders>
            <w:vAlign w:val="center"/>
          </w:tcPr>
          <w:p w14:paraId="5AE30F05">
            <w:pPr>
              <w:pStyle w:val="23"/>
              <w:bidi w:val="0"/>
              <w:rPr>
                <w:rFonts w:hint="default" w:ascii="Times New Roman" w:hAnsi="Times New Roman" w:cs="Times New Roman"/>
                <w:color w:val="auto"/>
              </w:rPr>
            </w:pPr>
          </w:p>
        </w:tc>
      </w:tr>
      <w:tr w14:paraId="6169AC58">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39" w:type="dxa"/>
            <w:vMerge w:val="continue"/>
            <w:tcBorders>
              <w:left w:val="nil"/>
              <w:bottom w:val="single" w:color="000000" w:sz="10" w:space="0"/>
            </w:tcBorders>
            <w:vAlign w:val="center"/>
          </w:tcPr>
          <w:p w14:paraId="2BBE53A9">
            <w:pPr>
              <w:pStyle w:val="23"/>
              <w:bidi w:val="0"/>
              <w:rPr>
                <w:rFonts w:hint="default" w:ascii="Times New Roman" w:hAnsi="Times New Roman" w:cs="Times New Roman"/>
                <w:color w:val="auto"/>
              </w:rPr>
            </w:pPr>
          </w:p>
        </w:tc>
        <w:tc>
          <w:tcPr>
            <w:tcW w:w="1494" w:type="dxa"/>
            <w:tcBorders>
              <w:bottom w:val="single" w:color="000000" w:sz="10" w:space="0"/>
            </w:tcBorders>
            <w:vAlign w:val="center"/>
          </w:tcPr>
          <w:p w14:paraId="58022092">
            <w:pPr>
              <w:pStyle w:val="23"/>
              <w:bidi w:val="0"/>
              <w:rPr>
                <w:rFonts w:hint="default" w:ascii="Times New Roman" w:hAnsi="Times New Roman" w:cs="Times New Roman"/>
                <w:color w:val="auto"/>
              </w:rPr>
            </w:pPr>
            <w:r>
              <w:rPr>
                <w:rFonts w:hint="default" w:ascii="Times New Roman" w:hAnsi="Times New Roman" w:cs="Times New Roman"/>
                <w:color w:val="auto"/>
              </w:rPr>
              <w:t>下风向</w:t>
            </w:r>
          </w:p>
        </w:tc>
        <w:tc>
          <w:tcPr>
            <w:tcW w:w="2037" w:type="dxa"/>
            <w:tcBorders>
              <w:bottom w:val="single" w:color="000000" w:sz="10" w:space="0"/>
            </w:tcBorders>
            <w:vAlign w:val="center"/>
          </w:tcPr>
          <w:p w14:paraId="08277D92">
            <w:pPr>
              <w:pStyle w:val="23"/>
              <w:bidi w:val="0"/>
              <w:rPr>
                <w:rFonts w:hint="default" w:ascii="Times New Roman" w:hAnsi="Times New Roman" w:cs="Times New Roman"/>
                <w:color w:val="auto"/>
                <w:lang w:val="en-US"/>
              </w:rPr>
            </w:pPr>
            <w:r>
              <w:rPr>
                <w:rFonts w:hint="default" w:ascii="Times New Roman" w:hAnsi="Times New Roman" w:cs="Times New Roman"/>
                <w:color w:val="auto"/>
                <w:lang w:val="en-US" w:eastAsia="zh-CN"/>
              </w:rPr>
              <w:t>G5</w:t>
            </w:r>
          </w:p>
        </w:tc>
        <w:tc>
          <w:tcPr>
            <w:tcW w:w="1717" w:type="dxa"/>
            <w:vMerge w:val="continue"/>
            <w:tcBorders>
              <w:bottom w:val="single" w:color="000000" w:sz="10" w:space="0"/>
            </w:tcBorders>
            <w:vAlign w:val="center"/>
          </w:tcPr>
          <w:p w14:paraId="3788BD31">
            <w:pPr>
              <w:pStyle w:val="23"/>
              <w:bidi w:val="0"/>
              <w:rPr>
                <w:rFonts w:hint="default" w:ascii="Times New Roman" w:hAnsi="Times New Roman" w:cs="Times New Roman"/>
                <w:color w:val="auto"/>
              </w:rPr>
            </w:pPr>
          </w:p>
        </w:tc>
        <w:tc>
          <w:tcPr>
            <w:tcW w:w="2584" w:type="dxa"/>
            <w:vMerge w:val="continue"/>
            <w:tcBorders>
              <w:bottom w:val="single" w:color="000000" w:sz="10" w:space="0"/>
              <w:right w:val="nil"/>
            </w:tcBorders>
            <w:vAlign w:val="center"/>
          </w:tcPr>
          <w:p w14:paraId="26320312">
            <w:pPr>
              <w:pStyle w:val="23"/>
              <w:bidi w:val="0"/>
              <w:rPr>
                <w:rFonts w:hint="default" w:ascii="Times New Roman" w:hAnsi="Times New Roman" w:cs="Times New Roman"/>
                <w:color w:val="auto"/>
              </w:rPr>
            </w:pPr>
          </w:p>
        </w:tc>
      </w:tr>
    </w:tbl>
    <w:p w14:paraId="37DFEE81">
      <w:pPr>
        <w:pStyle w:val="4"/>
        <w:bidi w:val="0"/>
        <w:rPr>
          <w:rFonts w:hint="default" w:ascii="Times New Roman" w:hAnsi="Times New Roman" w:cs="Times New Roman"/>
          <w:color w:val="auto"/>
        </w:rPr>
      </w:pPr>
      <w:bookmarkStart w:id="55" w:name="_Toc4496"/>
      <w:r>
        <w:rPr>
          <w:rFonts w:hint="default" w:ascii="Times New Roman" w:hAnsi="Times New Roman" w:cs="Times New Roman"/>
          <w:color w:val="auto"/>
        </w:rPr>
        <w:t>7.1.2厂界噪声监测</w:t>
      </w:r>
      <w:bookmarkEnd w:id="55"/>
    </w:p>
    <w:p w14:paraId="535711ED">
      <w:pPr>
        <w:bidi w:val="0"/>
        <w:rPr>
          <w:rFonts w:hint="default" w:ascii="Times New Roman" w:hAnsi="Times New Roman" w:cs="Times New Roman"/>
          <w:color w:val="auto"/>
        </w:rPr>
      </w:pPr>
      <w:r>
        <w:rPr>
          <w:rFonts w:hint="default" w:ascii="Times New Roman" w:hAnsi="Times New Roman" w:cs="Times New Roman"/>
          <w:color w:val="auto"/>
        </w:rPr>
        <w:t>本次</w:t>
      </w:r>
      <w:r>
        <w:rPr>
          <w:rFonts w:hint="default" w:ascii="Times New Roman" w:hAnsi="Times New Roman" w:cs="Times New Roman"/>
          <w:color w:val="auto"/>
          <w:lang w:val="en-US" w:eastAsia="zh-CN"/>
        </w:rPr>
        <w:t>噪声</w:t>
      </w:r>
      <w:r>
        <w:rPr>
          <w:rFonts w:hint="default" w:ascii="Times New Roman" w:hAnsi="Times New Roman" w:cs="Times New Roman"/>
          <w:color w:val="auto"/>
        </w:rPr>
        <w:t>监测</w:t>
      </w:r>
      <w:r>
        <w:rPr>
          <w:rFonts w:hint="default" w:ascii="Times New Roman" w:hAnsi="Times New Roman" w:cs="Times New Roman"/>
          <w:color w:val="auto"/>
          <w:lang w:val="en-US" w:eastAsia="zh-CN"/>
        </w:rPr>
        <w:t>委托</w:t>
      </w:r>
      <w:r>
        <w:rPr>
          <w:rFonts w:hint="default" w:ascii="Times New Roman" w:hAnsi="Times New Roman" w:cs="Times New Roman"/>
          <w:color w:val="auto"/>
        </w:rPr>
        <w:t>福建</w:t>
      </w:r>
      <w:r>
        <w:rPr>
          <w:rFonts w:hint="default" w:ascii="Times New Roman" w:hAnsi="Times New Roman" w:cs="Times New Roman"/>
          <w:color w:val="auto"/>
          <w:lang w:val="en-US" w:eastAsia="zh-CN"/>
        </w:rPr>
        <w:t>中凯</w:t>
      </w:r>
      <w:r>
        <w:rPr>
          <w:rFonts w:hint="default" w:ascii="Times New Roman" w:hAnsi="Times New Roman" w:cs="Times New Roman"/>
          <w:color w:val="auto"/>
        </w:rPr>
        <w:t>检测技术有限公司</w:t>
      </w:r>
      <w:r>
        <w:rPr>
          <w:rFonts w:hint="default" w:ascii="Times New Roman" w:hAnsi="Times New Roman" w:cs="Times New Roman"/>
          <w:color w:val="auto"/>
          <w:lang w:val="en-US" w:eastAsia="zh-CN"/>
        </w:rPr>
        <w:t>于2024年9月4日、9月5日监测2天</w:t>
      </w:r>
      <w:r>
        <w:rPr>
          <w:rFonts w:hint="default" w:ascii="Times New Roman" w:hAnsi="Times New Roman" w:cs="Times New Roman"/>
          <w:color w:val="auto"/>
        </w:rPr>
        <w:t>（CMA证书</w:t>
      </w:r>
      <w:r>
        <w:rPr>
          <w:rFonts w:hint="default" w:ascii="Times New Roman" w:hAnsi="Times New Roman" w:cs="Times New Roman"/>
          <w:color w:val="auto"/>
          <w:lang w:val="en-US" w:eastAsia="zh-CN"/>
        </w:rPr>
        <w:t>编</w:t>
      </w:r>
      <w:r>
        <w:rPr>
          <w:rFonts w:hint="default" w:ascii="Times New Roman" w:hAnsi="Times New Roman" w:cs="Times New Roman"/>
          <w:color w:val="auto"/>
        </w:rPr>
        <w:t>号：</w:t>
      </w:r>
      <w:r>
        <w:rPr>
          <w:rFonts w:hint="default" w:ascii="Times New Roman" w:hAnsi="Times New Roman" w:cs="Times New Roman"/>
          <w:color w:val="auto"/>
          <w:lang w:val="en-US" w:eastAsia="zh-CN"/>
        </w:rPr>
        <w:t>23132034A007</w:t>
      </w:r>
      <w:r>
        <w:rPr>
          <w:rFonts w:hint="default" w:ascii="Times New Roman" w:hAnsi="Times New Roman" w:cs="Times New Roman"/>
          <w:color w:val="auto"/>
          <w:lang w:eastAsia="zh-CN"/>
        </w:rPr>
        <w:t>，</w:t>
      </w:r>
      <w:r>
        <w:rPr>
          <w:rFonts w:hint="default" w:ascii="Times New Roman" w:hAnsi="Times New Roman" w:cs="Times New Roman"/>
          <w:color w:val="auto"/>
        </w:rPr>
        <w:t>报告编号：</w:t>
      </w:r>
      <w:r>
        <w:rPr>
          <w:rFonts w:hint="default" w:ascii="Times New Roman" w:hAnsi="Times New Roman" w:cs="Times New Roman"/>
          <w:color w:val="auto"/>
          <w:highlight w:val="none"/>
          <w:lang w:val="en-US" w:eastAsia="zh-CN"/>
        </w:rPr>
        <w:t>ZK24082852H01</w:t>
      </w:r>
      <w:r>
        <w:rPr>
          <w:rFonts w:hint="default" w:ascii="Times New Roman" w:hAnsi="Times New Roman" w:cs="Times New Roman"/>
          <w:color w:val="auto"/>
        </w:rPr>
        <w:t>）。</w:t>
      </w:r>
      <w:r>
        <w:rPr>
          <w:rFonts w:hint="default" w:ascii="Times New Roman" w:hAnsi="Times New Roman" w:cs="Times New Roman"/>
          <w:color w:val="auto"/>
          <w:lang w:val="en-US" w:eastAsia="zh-CN"/>
        </w:rPr>
        <w:t>监测</w:t>
      </w:r>
      <w:r>
        <w:rPr>
          <w:rFonts w:hint="default" w:ascii="Times New Roman" w:hAnsi="Times New Roman" w:cs="Times New Roman"/>
          <w:color w:val="auto"/>
        </w:rPr>
        <w:t>点位详见图7.</w:t>
      </w:r>
      <w:r>
        <w:rPr>
          <w:rFonts w:hint="default" w:ascii="Times New Roman" w:hAnsi="Times New Roman" w:cs="Times New Roman"/>
          <w:color w:val="auto"/>
          <w:lang w:val="en-US" w:eastAsia="zh-CN"/>
        </w:rPr>
        <w:t>1</w:t>
      </w:r>
      <w:r>
        <w:rPr>
          <w:rFonts w:hint="default" w:ascii="Times New Roman" w:hAnsi="Times New Roman" w:cs="Times New Roman"/>
          <w:color w:val="auto"/>
        </w:rPr>
        <w:t>-1。噪声监测因子和频次见表7</w:t>
      </w:r>
      <w:r>
        <w:rPr>
          <w:rFonts w:hint="default" w:ascii="Times New Roman" w:hAnsi="Times New Roman" w:cs="Times New Roman"/>
          <w:color w:val="auto"/>
          <w:lang w:val="en-US" w:eastAsia="zh-CN"/>
        </w:rPr>
        <w:t>.1</w:t>
      </w:r>
      <w:r>
        <w:rPr>
          <w:rFonts w:hint="default" w:ascii="Times New Roman" w:hAnsi="Times New Roman" w:cs="Times New Roman"/>
          <w:color w:val="auto"/>
        </w:rPr>
        <w:t>-2。</w:t>
      </w:r>
    </w:p>
    <w:p w14:paraId="4BE2FCA6">
      <w:pPr>
        <w:pStyle w:val="21"/>
        <w:bidi w:val="0"/>
        <w:rPr>
          <w:rFonts w:hint="default" w:ascii="Times New Roman" w:hAnsi="Times New Roman" w:cs="Times New Roman"/>
          <w:color w:val="auto"/>
        </w:rPr>
      </w:pPr>
      <w:r>
        <w:rPr>
          <w:rFonts w:hint="default" w:ascii="Times New Roman" w:hAnsi="Times New Roman" w:cs="Times New Roman"/>
          <w:color w:val="auto"/>
        </w:rPr>
        <w:t>表7</w:t>
      </w:r>
      <w:r>
        <w:rPr>
          <w:rFonts w:hint="default" w:ascii="Times New Roman" w:hAnsi="Times New Roman" w:cs="Times New Roman"/>
          <w:color w:val="auto"/>
          <w:lang w:val="en-US" w:eastAsia="zh-CN"/>
        </w:rPr>
        <w:t>.1</w:t>
      </w:r>
      <w:r>
        <w:rPr>
          <w:rFonts w:hint="default" w:ascii="Times New Roman" w:hAnsi="Times New Roman" w:cs="Times New Roman"/>
          <w:color w:val="auto"/>
        </w:rPr>
        <w:t>-2 噪声监测点位、因子和频率</w:t>
      </w:r>
    </w:p>
    <w:tbl>
      <w:tblPr>
        <w:tblStyle w:val="20"/>
        <w:tblW w:w="9071"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73"/>
        <w:gridCol w:w="2342"/>
        <w:gridCol w:w="4756"/>
      </w:tblGrid>
      <w:tr w14:paraId="2827E5B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1973" w:type="dxa"/>
            <w:tcBorders>
              <w:left w:val="nil"/>
              <w:right w:val="single" w:color="auto" w:sz="4" w:space="0"/>
            </w:tcBorders>
            <w:vAlign w:val="center"/>
          </w:tcPr>
          <w:p w14:paraId="70C17A86">
            <w:pPr>
              <w:pStyle w:val="23"/>
              <w:bidi w:val="0"/>
              <w:rPr>
                <w:rFonts w:hint="default" w:ascii="Times New Roman" w:hAnsi="Times New Roman" w:cs="Times New Roman"/>
                <w:color w:val="auto"/>
              </w:rPr>
            </w:pPr>
            <w:r>
              <w:rPr>
                <w:rFonts w:hint="default" w:ascii="Times New Roman" w:hAnsi="Times New Roman" w:cs="Times New Roman"/>
                <w:color w:val="auto"/>
              </w:rPr>
              <w:t>类别</w:t>
            </w:r>
          </w:p>
        </w:tc>
        <w:tc>
          <w:tcPr>
            <w:tcW w:w="2342" w:type="dxa"/>
            <w:tcBorders>
              <w:left w:val="single" w:color="auto" w:sz="4" w:space="0"/>
            </w:tcBorders>
            <w:vAlign w:val="center"/>
          </w:tcPr>
          <w:p w14:paraId="43FFB3EA">
            <w:pPr>
              <w:pStyle w:val="23"/>
              <w:bidi w:val="0"/>
              <w:rPr>
                <w:rFonts w:hint="default" w:ascii="Times New Roman" w:hAnsi="Times New Roman" w:cs="Times New Roman"/>
                <w:color w:val="auto"/>
              </w:rPr>
            </w:pPr>
            <w:r>
              <w:rPr>
                <w:rFonts w:hint="default" w:ascii="Times New Roman" w:hAnsi="Times New Roman" w:cs="Times New Roman"/>
                <w:color w:val="auto"/>
              </w:rPr>
              <w:t>采样点位</w:t>
            </w:r>
          </w:p>
        </w:tc>
        <w:tc>
          <w:tcPr>
            <w:tcW w:w="4756" w:type="dxa"/>
            <w:tcBorders>
              <w:right w:val="nil"/>
            </w:tcBorders>
            <w:vAlign w:val="center"/>
          </w:tcPr>
          <w:p w14:paraId="10F97175">
            <w:pPr>
              <w:pStyle w:val="23"/>
              <w:bidi w:val="0"/>
              <w:rPr>
                <w:rFonts w:hint="default" w:ascii="Times New Roman" w:hAnsi="Times New Roman" w:cs="Times New Roman"/>
                <w:color w:val="auto"/>
              </w:rPr>
            </w:pPr>
            <w:r>
              <w:rPr>
                <w:rFonts w:hint="default" w:ascii="Times New Roman" w:hAnsi="Times New Roman" w:cs="Times New Roman"/>
                <w:color w:val="auto"/>
              </w:rPr>
              <w:t>监测频次</w:t>
            </w:r>
          </w:p>
        </w:tc>
      </w:tr>
      <w:tr w14:paraId="6488782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9" w:hRule="atLeast"/>
          <w:jc w:val="center"/>
        </w:trPr>
        <w:tc>
          <w:tcPr>
            <w:tcW w:w="1973" w:type="dxa"/>
            <w:tcBorders>
              <w:left w:val="nil"/>
              <w:right w:val="single" w:color="auto" w:sz="4" w:space="0"/>
            </w:tcBorders>
            <w:vAlign w:val="center"/>
          </w:tcPr>
          <w:p w14:paraId="40102E8A">
            <w:pPr>
              <w:pStyle w:val="23"/>
              <w:bidi w:val="0"/>
              <w:rPr>
                <w:rFonts w:hint="default" w:ascii="Times New Roman" w:hAnsi="Times New Roman" w:cs="Times New Roman"/>
                <w:color w:val="auto"/>
              </w:rPr>
            </w:pPr>
            <w:r>
              <w:rPr>
                <w:rFonts w:hint="default" w:ascii="Times New Roman" w:hAnsi="Times New Roman" w:cs="Times New Roman"/>
                <w:color w:val="auto"/>
              </w:rPr>
              <w:t>厂界噪声</w:t>
            </w:r>
          </w:p>
        </w:tc>
        <w:tc>
          <w:tcPr>
            <w:tcW w:w="2342" w:type="dxa"/>
            <w:tcBorders>
              <w:left w:val="single" w:color="auto" w:sz="4" w:space="0"/>
            </w:tcBorders>
            <w:vAlign w:val="center"/>
          </w:tcPr>
          <w:p w14:paraId="765D04B0">
            <w:pPr>
              <w:pStyle w:val="23"/>
              <w:bidi w:val="0"/>
              <w:rPr>
                <w:rFonts w:hint="default" w:ascii="Times New Roman" w:hAnsi="Times New Roman" w:cs="Times New Roman"/>
                <w:color w:val="auto"/>
              </w:rPr>
            </w:pPr>
            <w:r>
              <w:rPr>
                <w:rFonts w:hint="default" w:ascii="Times New Roman" w:hAnsi="Times New Roman" w:cs="Times New Roman"/>
                <w:color w:val="auto"/>
              </w:rPr>
              <w:t>厂界四周</w:t>
            </w:r>
          </w:p>
        </w:tc>
        <w:tc>
          <w:tcPr>
            <w:tcW w:w="4756" w:type="dxa"/>
            <w:tcBorders>
              <w:right w:val="nil"/>
            </w:tcBorders>
            <w:vAlign w:val="center"/>
          </w:tcPr>
          <w:p w14:paraId="5BCA8EEF">
            <w:pPr>
              <w:pStyle w:val="23"/>
              <w:bidi w:val="0"/>
              <w:rPr>
                <w:rFonts w:hint="default" w:ascii="Times New Roman" w:hAnsi="Times New Roman" w:cs="Times New Roman"/>
                <w:color w:val="auto"/>
              </w:rPr>
            </w:pPr>
            <w:r>
              <w:rPr>
                <w:rFonts w:hint="default" w:ascii="Times New Roman" w:hAnsi="Times New Roman" w:cs="Times New Roman"/>
                <w:color w:val="auto"/>
              </w:rPr>
              <w:t>昼</w:t>
            </w:r>
            <w:r>
              <w:rPr>
                <w:rFonts w:hint="eastAsia" w:cs="Times New Roman"/>
                <w:color w:val="auto"/>
                <w:lang w:val="en-US" w:eastAsia="zh-CN"/>
              </w:rPr>
              <w:t>间</w:t>
            </w:r>
            <w:r>
              <w:rPr>
                <w:rFonts w:hint="default" w:ascii="Times New Roman" w:hAnsi="Times New Roman" w:cs="Times New Roman"/>
                <w:color w:val="auto"/>
              </w:rPr>
              <w:t>1次。测2天</w:t>
            </w:r>
          </w:p>
        </w:tc>
      </w:tr>
    </w:tbl>
    <w:p w14:paraId="49934A86">
      <w:pPr>
        <w:pStyle w:val="24"/>
        <w:bidi w:val="0"/>
        <w:rPr>
          <w:rFonts w:hint="default" w:ascii="Times New Roman" w:hAnsi="Times New Roman" w:eastAsia="宋体" w:cs="Times New Roman"/>
          <w:color w:val="auto"/>
          <w:lang w:val="en-US" w:eastAsia="zh-CN"/>
        </w:rPr>
      </w:pPr>
      <w:r>
        <w:rPr>
          <w:rFonts w:hint="eastAsia" w:cs="Times New Roman"/>
          <w:color w:val="auto"/>
          <w:lang w:val="en-US" w:eastAsia="zh-CN"/>
        </w:rPr>
        <w:t>涉密删除</w:t>
      </w:r>
    </w:p>
    <w:p w14:paraId="3C6C76E5">
      <w:pPr>
        <w:pStyle w:val="25"/>
        <w:bidi w:val="0"/>
        <w:rPr>
          <w:rFonts w:hint="default" w:ascii="Times New Roman" w:hAnsi="Times New Roman" w:cs="Times New Roman"/>
          <w:color w:val="auto"/>
        </w:rPr>
      </w:pPr>
      <w:r>
        <w:rPr>
          <w:rFonts w:hint="default" w:ascii="Times New Roman" w:hAnsi="Times New Roman" w:cs="Times New Roman"/>
          <w:color w:val="auto"/>
        </w:rPr>
        <w:t>图7</w:t>
      </w:r>
      <w:r>
        <w:rPr>
          <w:rFonts w:hint="default" w:ascii="Times New Roman" w:hAnsi="Times New Roman" w:cs="Times New Roman"/>
          <w:color w:val="auto"/>
          <w:lang w:val="en-US" w:eastAsia="zh-CN"/>
        </w:rPr>
        <w:t>.1-1</w:t>
      </w:r>
      <w:r>
        <w:rPr>
          <w:rFonts w:hint="default" w:ascii="Times New Roman" w:hAnsi="Times New Roman" w:cs="Times New Roman"/>
          <w:color w:val="auto"/>
        </w:rPr>
        <w:t xml:space="preserve"> 验收监测点位图</w:t>
      </w:r>
    </w:p>
    <w:p w14:paraId="30DC84DF">
      <w:pPr>
        <w:rPr>
          <w:rFonts w:hint="default" w:ascii="Times New Roman" w:hAnsi="Times New Roman" w:eastAsia="宋体" w:cs="Times New Roman"/>
          <w:color w:val="auto"/>
          <w:lang w:val="en-US" w:eastAsia="zh-CN"/>
        </w:rPr>
      </w:pPr>
    </w:p>
    <w:p w14:paraId="770E321A">
      <w:pPr>
        <w:pStyle w:val="2"/>
        <w:bidi w:val="0"/>
        <w:rPr>
          <w:rFonts w:hint="default" w:ascii="Times New Roman" w:hAnsi="Times New Roman" w:cs="Times New Roman"/>
          <w:color w:val="auto"/>
        </w:rPr>
      </w:pPr>
      <w:bookmarkStart w:id="56" w:name="_Toc2532"/>
      <w:r>
        <w:rPr>
          <w:rFonts w:hint="default" w:ascii="Times New Roman" w:hAnsi="Times New Roman" w:cs="Times New Roman"/>
          <w:color w:val="auto"/>
        </w:rPr>
        <w:t>8质量保证和质量控制</w:t>
      </w:r>
      <w:bookmarkEnd w:id="56"/>
    </w:p>
    <w:p w14:paraId="5A5DF9E6">
      <w:pPr>
        <w:spacing w:before="0" w:line="360" w:lineRule="auto"/>
        <w:ind w:left="0" w:right="0" w:firstLine="482"/>
        <w:rPr>
          <w:rFonts w:hint="default" w:ascii="Times New Roman" w:hAnsi="Times New Roman" w:eastAsia="宋体" w:cs="Times New Roman"/>
          <w:color w:val="auto"/>
          <w:sz w:val="24"/>
          <w:szCs w:val="24"/>
        </w:rPr>
      </w:pPr>
      <w:r>
        <w:rPr>
          <w:rFonts w:hint="default" w:ascii="Times New Roman" w:hAnsi="Times New Roman" w:eastAsia="宋体" w:cs="Times New Roman"/>
          <w:bCs/>
          <w:color w:val="auto"/>
          <w:kern w:val="0"/>
          <w:highlight w:val="none"/>
          <w:lang w:val="en-US" w:eastAsia="zh-CN"/>
        </w:rPr>
        <w:t>建设单位</w:t>
      </w:r>
      <w:r>
        <w:rPr>
          <w:rFonts w:hint="default" w:ascii="Times New Roman" w:hAnsi="Times New Roman" w:eastAsia="宋体" w:cs="Times New Roman"/>
          <w:bCs/>
          <w:color w:val="auto"/>
          <w:kern w:val="0"/>
          <w:highlight w:val="none"/>
        </w:rPr>
        <w:t>委托的监测单位为</w:t>
      </w:r>
      <w:r>
        <w:rPr>
          <w:rFonts w:hint="default" w:ascii="Times New Roman" w:hAnsi="Times New Roman" w:eastAsia="宋体" w:cs="Times New Roman"/>
          <w:color w:val="auto"/>
          <w:spacing w:val="10"/>
          <w:sz w:val="23"/>
          <w:szCs w:val="23"/>
          <w:highlight w:val="none"/>
        </w:rPr>
        <w:t>福建</w:t>
      </w:r>
      <w:r>
        <w:rPr>
          <w:rFonts w:hint="default" w:ascii="Times New Roman" w:hAnsi="Times New Roman" w:cs="Times New Roman"/>
          <w:color w:val="auto"/>
          <w:spacing w:val="10"/>
          <w:sz w:val="23"/>
          <w:szCs w:val="23"/>
          <w:highlight w:val="none"/>
          <w:lang w:val="en-US" w:eastAsia="zh-CN"/>
        </w:rPr>
        <w:t>中凯</w:t>
      </w:r>
      <w:r>
        <w:rPr>
          <w:rFonts w:hint="default" w:ascii="Times New Roman" w:hAnsi="Times New Roman" w:eastAsia="宋体" w:cs="Times New Roman"/>
          <w:color w:val="auto"/>
          <w:spacing w:val="10"/>
          <w:sz w:val="23"/>
          <w:szCs w:val="23"/>
          <w:highlight w:val="none"/>
        </w:rPr>
        <w:t>检测技术有限公司</w:t>
      </w:r>
      <w:r>
        <w:rPr>
          <w:rFonts w:hint="default" w:ascii="Times New Roman" w:hAnsi="Times New Roman" w:eastAsia="宋体" w:cs="Times New Roman"/>
          <w:bCs/>
          <w:color w:val="auto"/>
          <w:kern w:val="0"/>
          <w:highlight w:val="none"/>
        </w:rPr>
        <w:t>，该单位已通过省级计量认证（资质认定证书编号：</w:t>
      </w:r>
      <w:r>
        <w:rPr>
          <w:rFonts w:hint="default" w:ascii="Times New Roman" w:hAnsi="Times New Roman" w:cs="Times New Roman"/>
          <w:bCs/>
          <w:color w:val="auto"/>
          <w:kern w:val="0"/>
          <w:highlight w:val="none"/>
          <w:lang w:val="en-US" w:eastAsia="zh-CN"/>
        </w:rPr>
        <w:t>23132034A007</w:t>
      </w:r>
      <w:r>
        <w:rPr>
          <w:rFonts w:hint="default" w:ascii="Times New Roman" w:hAnsi="Times New Roman" w:eastAsia="宋体" w:cs="Times New Roman"/>
          <w:bCs/>
          <w:color w:val="auto"/>
          <w:kern w:val="0"/>
          <w:highlight w:val="none"/>
        </w:rPr>
        <w:t>）。为保证验收监测的准确可靠，所有参加监测的技术人员均按国家规定持证上岗。所有采样记录和分析测试结果，按规定和要求进行三级审核。监测期间的样品采样、运输和保存均按照国家相关规定进行，采样及分析方法均采用国家标准方法。参加监测的技术人员均按国家规定，使用经计量部门检定合格并在有效使用期内的仪器等。同时项目设置有符合国家相关标准规定的规范化采样口。</w:t>
      </w:r>
    </w:p>
    <w:p w14:paraId="7FC23614">
      <w:pPr>
        <w:pStyle w:val="3"/>
        <w:bidi w:val="0"/>
        <w:rPr>
          <w:rFonts w:hint="default" w:ascii="Times New Roman" w:hAnsi="Times New Roman" w:cs="Times New Roman"/>
          <w:color w:val="auto"/>
        </w:rPr>
      </w:pPr>
      <w:bookmarkStart w:id="57" w:name="_Toc20172"/>
      <w:r>
        <w:rPr>
          <w:rFonts w:hint="default" w:ascii="Times New Roman" w:hAnsi="Times New Roman" w:cs="Times New Roman"/>
          <w:color w:val="auto"/>
        </w:rPr>
        <w:t>8.1监测分析方法</w:t>
      </w:r>
      <w:bookmarkEnd w:id="57"/>
    </w:p>
    <w:p w14:paraId="4F163AA6">
      <w:pPr>
        <w:bidi w:val="0"/>
        <w:rPr>
          <w:rFonts w:hint="default" w:ascii="Times New Roman" w:hAnsi="Times New Roman" w:cs="Times New Roman"/>
          <w:color w:val="auto"/>
        </w:rPr>
      </w:pPr>
      <w:r>
        <w:rPr>
          <w:rFonts w:hint="default" w:ascii="Times New Roman" w:hAnsi="Times New Roman" w:cs="Times New Roman"/>
          <w:color w:val="auto"/>
        </w:rPr>
        <w:t>本次验收监测所用监测分析方法及最低检出限见表8</w:t>
      </w:r>
      <w:r>
        <w:rPr>
          <w:rFonts w:hint="default" w:ascii="Times New Roman" w:hAnsi="Times New Roman" w:cs="Times New Roman"/>
          <w:color w:val="auto"/>
          <w:lang w:val="en-US" w:eastAsia="zh-CN"/>
        </w:rPr>
        <w:t>.1</w:t>
      </w:r>
      <w:r>
        <w:rPr>
          <w:rFonts w:hint="default" w:ascii="Times New Roman" w:hAnsi="Times New Roman" w:cs="Times New Roman"/>
          <w:color w:val="auto"/>
        </w:rPr>
        <w:t>-1。</w:t>
      </w:r>
    </w:p>
    <w:p w14:paraId="017B0856">
      <w:pPr>
        <w:pStyle w:val="21"/>
        <w:bidi w:val="0"/>
        <w:rPr>
          <w:rFonts w:hint="default" w:ascii="Times New Roman" w:hAnsi="Times New Roman" w:cs="Times New Roman"/>
          <w:color w:val="auto"/>
        </w:rPr>
      </w:pPr>
      <w:r>
        <w:rPr>
          <w:rFonts w:hint="default" w:ascii="Times New Roman" w:hAnsi="Times New Roman" w:cs="Times New Roman"/>
          <w:color w:val="auto"/>
        </w:rPr>
        <w:t>表8</w:t>
      </w:r>
      <w:r>
        <w:rPr>
          <w:rFonts w:hint="default" w:ascii="Times New Roman" w:hAnsi="Times New Roman" w:cs="Times New Roman"/>
          <w:color w:val="auto"/>
          <w:lang w:val="en-US" w:eastAsia="zh-CN"/>
        </w:rPr>
        <w:t>.1</w:t>
      </w:r>
      <w:r>
        <w:rPr>
          <w:rFonts w:hint="default" w:ascii="Times New Roman" w:hAnsi="Times New Roman" w:cs="Times New Roman"/>
          <w:color w:val="auto"/>
        </w:rPr>
        <w:t>-1监测分析方法一览表</w:t>
      </w:r>
    </w:p>
    <w:tbl>
      <w:tblPr>
        <w:tblStyle w:val="20"/>
        <w:tblW w:w="9071" w:type="dxa"/>
        <w:jc w:val="center"/>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Layout w:type="fixed"/>
        <w:tblCellMar>
          <w:top w:w="0" w:type="dxa"/>
          <w:left w:w="0" w:type="dxa"/>
          <w:bottom w:w="0" w:type="dxa"/>
          <w:right w:w="0" w:type="dxa"/>
        </w:tblCellMar>
      </w:tblPr>
      <w:tblGrid>
        <w:gridCol w:w="1198"/>
        <w:gridCol w:w="1409"/>
        <w:gridCol w:w="4809"/>
        <w:gridCol w:w="1655"/>
      </w:tblGrid>
      <w:tr w14:paraId="44C04EBB">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8" w:type="dxa"/>
            <w:tcBorders>
              <w:left w:val="nil"/>
            </w:tcBorders>
            <w:vAlign w:val="center"/>
          </w:tcPr>
          <w:p w14:paraId="460FBBCC">
            <w:pPr>
              <w:pStyle w:val="23"/>
              <w:bidi w:val="0"/>
              <w:rPr>
                <w:rFonts w:hint="default" w:ascii="Times New Roman" w:hAnsi="Times New Roman" w:cs="Times New Roman"/>
                <w:color w:val="auto"/>
              </w:rPr>
            </w:pPr>
            <w:r>
              <w:rPr>
                <w:rFonts w:hint="default" w:ascii="Times New Roman" w:hAnsi="Times New Roman" w:cs="Times New Roman"/>
                <w:color w:val="auto"/>
              </w:rPr>
              <w:t>类别</w:t>
            </w:r>
          </w:p>
        </w:tc>
        <w:tc>
          <w:tcPr>
            <w:tcW w:w="1409" w:type="dxa"/>
            <w:vAlign w:val="center"/>
          </w:tcPr>
          <w:p w14:paraId="5523CE07">
            <w:pPr>
              <w:pStyle w:val="23"/>
              <w:bidi w:val="0"/>
              <w:rPr>
                <w:rFonts w:hint="default" w:ascii="Times New Roman" w:hAnsi="Times New Roman" w:cs="Times New Roman"/>
                <w:color w:val="auto"/>
              </w:rPr>
            </w:pPr>
            <w:r>
              <w:rPr>
                <w:rFonts w:hint="default" w:ascii="Times New Roman" w:hAnsi="Times New Roman" w:cs="Times New Roman"/>
                <w:color w:val="auto"/>
              </w:rPr>
              <w:t>项目</w:t>
            </w:r>
          </w:p>
        </w:tc>
        <w:tc>
          <w:tcPr>
            <w:tcW w:w="4809" w:type="dxa"/>
            <w:vAlign w:val="center"/>
          </w:tcPr>
          <w:p w14:paraId="722C0258">
            <w:pPr>
              <w:pStyle w:val="23"/>
              <w:bidi w:val="0"/>
              <w:rPr>
                <w:rFonts w:hint="default" w:ascii="Times New Roman" w:hAnsi="Times New Roman" w:cs="Times New Roman"/>
                <w:color w:val="auto"/>
              </w:rPr>
            </w:pPr>
            <w:r>
              <w:rPr>
                <w:rFonts w:hint="default" w:ascii="Times New Roman" w:hAnsi="Times New Roman" w:cs="Times New Roman"/>
                <w:color w:val="auto"/>
              </w:rPr>
              <w:t>检测方法</w:t>
            </w:r>
          </w:p>
        </w:tc>
        <w:tc>
          <w:tcPr>
            <w:tcW w:w="1655" w:type="dxa"/>
            <w:tcBorders>
              <w:right w:val="nil"/>
            </w:tcBorders>
            <w:vAlign w:val="center"/>
          </w:tcPr>
          <w:p w14:paraId="43E64DF3">
            <w:pPr>
              <w:pStyle w:val="23"/>
              <w:bidi w:val="0"/>
              <w:rPr>
                <w:rFonts w:hint="default" w:ascii="Times New Roman" w:hAnsi="Times New Roman" w:cs="Times New Roman"/>
                <w:color w:val="auto"/>
              </w:rPr>
            </w:pPr>
            <w:r>
              <w:rPr>
                <w:rFonts w:hint="default" w:ascii="Times New Roman" w:hAnsi="Times New Roman" w:cs="Times New Roman"/>
                <w:color w:val="auto"/>
              </w:rPr>
              <w:t>检出限</w:t>
            </w:r>
          </w:p>
        </w:tc>
      </w:tr>
      <w:tr w14:paraId="0EBA75FF">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8" w:type="dxa"/>
            <w:tcBorders>
              <w:left w:val="nil"/>
            </w:tcBorders>
            <w:vAlign w:val="center"/>
          </w:tcPr>
          <w:p w14:paraId="2E6D25A1">
            <w:pPr>
              <w:pStyle w:val="23"/>
              <w:bidi w:val="0"/>
              <w:rPr>
                <w:rFonts w:hint="default" w:ascii="Times New Roman" w:hAnsi="Times New Roman" w:cs="Times New Roman"/>
                <w:color w:val="auto"/>
              </w:rPr>
            </w:pPr>
            <w:r>
              <w:rPr>
                <w:rFonts w:hint="default" w:ascii="Times New Roman" w:hAnsi="Times New Roman" w:cs="Times New Roman"/>
                <w:color w:val="auto"/>
              </w:rPr>
              <w:t>噪声</w:t>
            </w:r>
          </w:p>
        </w:tc>
        <w:tc>
          <w:tcPr>
            <w:tcW w:w="1409" w:type="dxa"/>
            <w:vAlign w:val="center"/>
          </w:tcPr>
          <w:p w14:paraId="6643B758">
            <w:pPr>
              <w:pStyle w:val="23"/>
              <w:bidi w:val="0"/>
              <w:rPr>
                <w:rFonts w:hint="default" w:ascii="Times New Roman" w:hAnsi="Times New Roman" w:cs="Times New Roman"/>
                <w:color w:val="auto"/>
              </w:rPr>
            </w:pPr>
            <w:r>
              <w:rPr>
                <w:rFonts w:hint="default" w:ascii="Times New Roman" w:hAnsi="Times New Roman" w:cs="Times New Roman"/>
                <w:color w:val="auto"/>
              </w:rPr>
              <w:t>工业企业厂界噪声</w:t>
            </w:r>
          </w:p>
        </w:tc>
        <w:tc>
          <w:tcPr>
            <w:tcW w:w="4809" w:type="dxa"/>
            <w:vAlign w:val="center"/>
          </w:tcPr>
          <w:p w14:paraId="4E1EAB99">
            <w:pPr>
              <w:pStyle w:val="23"/>
              <w:bidi w:val="0"/>
              <w:rPr>
                <w:rFonts w:hint="default" w:ascii="Times New Roman" w:hAnsi="Times New Roman" w:cs="Times New Roman"/>
                <w:color w:val="auto"/>
              </w:rPr>
            </w:pPr>
            <w:r>
              <w:rPr>
                <w:rFonts w:hint="default" w:ascii="Times New Roman" w:hAnsi="Times New Roman" w:cs="Times New Roman"/>
                <w:color w:val="auto"/>
              </w:rPr>
              <w:t>《工业企业厂界环境噪声排放标准》GB12348-2008</w:t>
            </w:r>
          </w:p>
        </w:tc>
        <w:tc>
          <w:tcPr>
            <w:tcW w:w="1655" w:type="dxa"/>
            <w:tcBorders>
              <w:right w:val="nil"/>
            </w:tcBorders>
            <w:vAlign w:val="center"/>
          </w:tcPr>
          <w:p w14:paraId="78710EDC">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35dB（A）</w:t>
            </w:r>
          </w:p>
        </w:tc>
      </w:tr>
      <w:tr w14:paraId="7DDFCAAC">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8" w:type="dxa"/>
            <w:tcBorders>
              <w:left w:val="nil"/>
            </w:tcBorders>
            <w:vAlign w:val="center"/>
          </w:tcPr>
          <w:p w14:paraId="6DB6B325">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固定源废气</w:t>
            </w:r>
          </w:p>
        </w:tc>
        <w:tc>
          <w:tcPr>
            <w:tcW w:w="1409" w:type="dxa"/>
            <w:vAlign w:val="center"/>
          </w:tcPr>
          <w:p w14:paraId="03D67DBF">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颗粒物</w:t>
            </w:r>
          </w:p>
        </w:tc>
        <w:tc>
          <w:tcPr>
            <w:tcW w:w="4809" w:type="dxa"/>
            <w:vAlign w:val="center"/>
          </w:tcPr>
          <w:p w14:paraId="36261EE7">
            <w:pPr>
              <w:pStyle w:val="23"/>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固定污染源废气 低浓度颗粒物的测定 重量法</w:t>
            </w:r>
            <w:r>
              <w:rPr>
                <w:rFonts w:hint="default" w:ascii="Times New Roman" w:hAnsi="Times New Roman" w:cs="Times New Roman"/>
                <w:color w:val="auto"/>
                <w:lang w:eastAsia="zh-CN"/>
              </w:rPr>
              <w:t>》</w:t>
            </w:r>
            <w:r>
              <w:rPr>
                <w:rFonts w:hint="default" w:ascii="Times New Roman" w:hAnsi="Times New Roman" w:cs="Times New Roman"/>
                <w:color w:val="auto"/>
              </w:rPr>
              <w:t>H836-2017</w:t>
            </w:r>
          </w:p>
        </w:tc>
        <w:tc>
          <w:tcPr>
            <w:tcW w:w="1655" w:type="dxa"/>
            <w:tcBorders>
              <w:right w:val="nil"/>
            </w:tcBorders>
            <w:vAlign w:val="center"/>
          </w:tcPr>
          <w:p w14:paraId="14B083D4">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w:t>
            </w:r>
            <w:r>
              <w:rPr>
                <w:rFonts w:hint="default" w:ascii="Times New Roman" w:hAnsi="Times New Roman" w:cs="Times New Roman"/>
                <w:color w:val="auto"/>
              </w:rPr>
              <w:t>mg/</w:t>
            </w:r>
            <w:r>
              <w:rPr>
                <w:rFonts w:hint="default" w:ascii="Times New Roman" w:hAnsi="Times New Roman" w:cs="Times New Roman"/>
                <w:color w:val="auto"/>
                <w:lang w:val="en-US" w:eastAsia="zh-CN"/>
              </w:rPr>
              <w:t>m³</w:t>
            </w:r>
          </w:p>
        </w:tc>
      </w:tr>
      <w:tr w14:paraId="27A156BC">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8" w:type="dxa"/>
            <w:tcBorders>
              <w:left w:val="nil"/>
            </w:tcBorders>
            <w:vAlign w:val="center"/>
          </w:tcPr>
          <w:p w14:paraId="36536D9B">
            <w:pPr>
              <w:pStyle w:val="23"/>
              <w:bidi w:val="0"/>
              <w:rPr>
                <w:rFonts w:hint="default" w:ascii="Times New Roman" w:hAnsi="Times New Roman" w:cs="Times New Roman"/>
                <w:color w:val="auto"/>
                <w:lang w:eastAsia="zh-CN"/>
              </w:rPr>
            </w:pPr>
            <w:r>
              <w:rPr>
                <w:rFonts w:hint="default" w:ascii="Times New Roman" w:hAnsi="Times New Roman" w:cs="Times New Roman"/>
                <w:color w:val="auto"/>
              </w:rPr>
              <w:t>无组织</w:t>
            </w:r>
            <w:r>
              <w:rPr>
                <w:rFonts w:hint="default" w:ascii="Times New Roman" w:hAnsi="Times New Roman" w:cs="Times New Roman"/>
                <w:color w:val="auto"/>
                <w:lang w:val="en-US" w:eastAsia="zh-CN"/>
              </w:rPr>
              <w:t>废气</w:t>
            </w:r>
          </w:p>
        </w:tc>
        <w:tc>
          <w:tcPr>
            <w:tcW w:w="1409" w:type="dxa"/>
            <w:vAlign w:val="center"/>
          </w:tcPr>
          <w:p w14:paraId="2FF51D29">
            <w:pPr>
              <w:pStyle w:val="23"/>
              <w:bidi w:val="0"/>
              <w:rPr>
                <w:rFonts w:hint="default" w:ascii="Times New Roman" w:hAnsi="Times New Roman" w:cs="Times New Roman"/>
                <w:color w:val="auto"/>
              </w:rPr>
            </w:pPr>
            <w:r>
              <w:rPr>
                <w:rFonts w:hint="default" w:ascii="Times New Roman" w:hAnsi="Times New Roman" w:cs="Times New Roman"/>
                <w:color w:val="auto"/>
              </w:rPr>
              <w:t>颗粒物</w:t>
            </w:r>
          </w:p>
        </w:tc>
        <w:tc>
          <w:tcPr>
            <w:tcW w:w="4809" w:type="dxa"/>
            <w:vAlign w:val="center"/>
          </w:tcPr>
          <w:p w14:paraId="78AEFC43">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rPr>
              <w:t>《环境空气 总悬浮颗粒物的测定</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重量法》</w:t>
            </w:r>
            <w:r>
              <w:rPr>
                <w:rFonts w:hint="default" w:ascii="Times New Roman" w:hAnsi="Times New Roman" w:cs="Times New Roman"/>
                <w:color w:val="auto"/>
                <w:lang w:val="en-US" w:eastAsia="zh-CN"/>
              </w:rPr>
              <w:t>HJ1236</w:t>
            </w:r>
            <w:r>
              <w:rPr>
                <w:rFonts w:hint="default" w:ascii="Times New Roman" w:hAnsi="Times New Roman" w:cs="Times New Roman"/>
                <w:color w:val="auto"/>
              </w:rPr>
              <w:t>-</w:t>
            </w:r>
            <w:r>
              <w:rPr>
                <w:rFonts w:hint="default" w:ascii="Times New Roman" w:hAnsi="Times New Roman" w:cs="Times New Roman"/>
                <w:color w:val="auto"/>
                <w:lang w:val="en-US" w:eastAsia="zh-CN"/>
              </w:rPr>
              <w:t>2022</w:t>
            </w:r>
          </w:p>
        </w:tc>
        <w:tc>
          <w:tcPr>
            <w:tcW w:w="1655" w:type="dxa"/>
            <w:tcBorders>
              <w:right w:val="nil"/>
            </w:tcBorders>
            <w:vAlign w:val="center"/>
          </w:tcPr>
          <w:p w14:paraId="36051163">
            <w:pPr>
              <w:pStyle w:val="23"/>
              <w:bidi w:val="0"/>
              <w:rPr>
                <w:rFonts w:hint="default" w:ascii="Times New Roman" w:hAnsi="Times New Roman" w:cs="Times New Roman"/>
                <w:color w:val="auto"/>
                <w:lang w:eastAsia="zh-CN"/>
              </w:rPr>
            </w:pPr>
            <w:r>
              <w:rPr>
                <w:rFonts w:hint="default" w:ascii="Times New Roman" w:hAnsi="Times New Roman" w:cs="Times New Roman"/>
                <w:color w:val="auto"/>
              </w:rPr>
              <w:t>0.00</w:t>
            </w:r>
            <w:r>
              <w:rPr>
                <w:rFonts w:hint="default" w:ascii="Times New Roman" w:hAnsi="Times New Roman" w:cs="Times New Roman"/>
                <w:color w:val="auto"/>
                <w:lang w:val="en-US" w:eastAsia="zh-CN"/>
              </w:rPr>
              <w:t>7</w:t>
            </w:r>
            <w:r>
              <w:rPr>
                <w:rFonts w:hint="default" w:ascii="Times New Roman" w:hAnsi="Times New Roman" w:cs="Times New Roman"/>
                <w:color w:val="auto"/>
              </w:rPr>
              <w:t>mg/</w:t>
            </w:r>
            <w:r>
              <w:rPr>
                <w:rFonts w:hint="default" w:ascii="Times New Roman" w:hAnsi="Times New Roman" w:cs="Times New Roman"/>
                <w:color w:val="auto"/>
                <w:lang w:val="en-US" w:eastAsia="zh-CN"/>
              </w:rPr>
              <w:t>m³</w:t>
            </w:r>
          </w:p>
        </w:tc>
      </w:tr>
    </w:tbl>
    <w:p w14:paraId="6A23F8D0">
      <w:pPr>
        <w:pStyle w:val="3"/>
        <w:bidi w:val="0"/>
        <w:rPr>
          <w:rFonts w:hint="default" w:ascii="Times New Roman" w:hAnsi="Times New Roman" w:cs="Times New Roman"/>
          <w:color w:val="auto"/>
        </w:rPr>
      </w:pPr>
      <w:bookmarkStart w:id="58" w:name="_Toc31708"/>
      <w:r>
        <w:rPr>
          <w:rFonts w:hint="default" w:ascii="Times New Roman" w:hAnsi="Times New Roman" w:cs="Times New Roman"/>
          <w:color w:val="auto"/>
        </w:rPr>
        <w:t>8.2监测仪器</w:t>
      </w:r>
      <w:bookmarkEnd w:id="58"/>
    </w:p>
    <w:p w14:paraId="59684403">
      <w:pPr>
        <w:bidi w:val="0"/>
        <w:rPr>
          <w:rFonts w:hint="default" w:ascii="Times New Roman" w:hAnsi="Times New Roman" w:cs="Times New Roman"/>
          <w:color w:val="auto"/>
        </w:rPr>
      </w:pPr>
      <w:r>
        <w:rPr>
          <w:rFonts w:hint="default" w:ascii="Times New Roman" w:hAnsi="Times New Roman" w:cs="Times New Roman"/>
          <w:color w:val="auto"/>
        </w:rPr>
        <w:t>本次验收监测所用的仪器名称、型号、编号及检定有效时间见表8</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default" w:ascii="Times New Roman" w:hAnsi="Times New Roman" w:cs="Times New Roman"/>
          <w:color w:val="auto"/>
        </w:rPr>
        <w:t>。</w:t>
      </w:r>
    </w:p>
    <w:p w14:paraId="3BF235A1">
      <w:pPr>
        <w:pStyle w:val="21"/>
        <w:bidi w:val="0"/>
        <w:rPr>
          <w:rFonts w:hint="default" w:ascii="Times New Roman" w:hAnsi="Times New Roman" w:cs="Times New Roman"/>
          <w:color w:val="auto"/>
        </w:rPr>
      </w:pPr>
      <w:r>
        <w:rPr>
          <w:rFonts w:hint="default" w:ascii="Times New Roman" w:hAnsi="Times New Roman" w:cs="Times New Roman"/>
          <w:color w:val="auto"/>
        </w:rPr>
        <w:t>表8</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default" w:ascii="Times New Roman" w:hAnsi="Times New Roman" w:cs="Times New Roman"/>
          <w:color w:val="auto"/>
        </w:rPr>
        <w:t xml:space="preserve"> 监测仪器设备及检定有效期</w:t>
      </w:r>
    </w:p>
    <w:tbl>
      <w:tblPr>
        <w:tblStyle w:val="20"/>
        <w:tblW w:w="9071" w:type="dxa"/>
        <w:jc w:val="center"/>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Layout w:type="fixed"/>
        <w:tblCellMar>
          <w:top w:w="0" w:type="dxa"/>
          <w:left w:w="0" w:type="dxa"/>
          <w:bottom w:w="0" w:type="dxa"/>
          <w:right w:w="0" w:type="dxa"/>
        </w:tblCellMar>
      </w:tblPr>
      <w:tblGrid>
        <w:gridCol w:w="1528"/>
        <w:gridCol w:w="1815"/>
        <w:gridCol w:w="3267"/>
        <w:gridCol w:w="2461"/>
      </w:tblGrid>
      <w:tr w14:paraId="68BADEBC">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528" w:type="dxa"/>
            <w:vMerge w:val="restart"/>
            <w:tcBorders>
              <w:left w:val="nil"/>
            </w:tcBorders>
            <w:vAlign w:val="center"/>
          </w:tcPr>
          <w:p w14:paraId="6F8369F8">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类别</w:t>
            </w:r>
          </w:p>
        </w:tc>
        <w:tc>
          <w:tcPr>
            <w:tcW w:w="1815" w:type="dxa"/>
            <w:vMerge w:val="restart"/>
            <w:vAlign w:val="center"/>
          </w:tcPr>
          <w:p w14:paraId="665EFA39">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监测</w:t>
            </w:r>
            <w:r>
              <w:rPr>
                <w:rFonts w:hint="default" w:ascii="Times New Roman" w:hAnsi="Times New Roman" w:cs="Times New Roman"/>
                <w:color w:val="auto"/>
                <w:lang w:eastAsia="zh-CN"/>
              </w:rPr>
              <w:t>项目</w:t>
            </w:r>
          </w:p>
        </w:tc>
        <w:tc>
          <w:tcPr>
            <w:tcW w:w="5728" w:type="dxa"/>
            <w:gridSpan w:val="2"/>
            <w:tcBorders>
              <w:right w:val="nil"/>
            </w:tcBorders>
            <w:vAlign w:val="center"/>
          </w:tcPr>
          <w:p w14:paraId="62890E6F">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使用仪器</w:t>
            </w:r>
          </w:p>
        </w:tc>
      </w:tr>
      <w:tr w14:paraId="74CAAD68">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528" w:type="dxa"/>
            <w:vMerge w:val="continue"/>
            <w:tcBorders>
              <w:left w:val="nil"/>
            </w:tcBorders>
            <w:vAlign w:val="center"/>
          </w:tcPr>
          <w:p w14:paraId="54CF530B">
            <w:pPr>
              <w:pStyle w:val="23"/>
              <w:bidi w:val="0"/>
              <w:rPr>
                <w:rFonts w:hint="default" w:ascii="Times New Roman" w:hAnsi="Times New Roman" w:cs="Times New Roman"/>
                <w:color w:val="auto"/>
                <w:lang w:eastAsia="zh-CN"/>
              </w:rPr>
            </w:pPr>
          </w:p>
        </w:tc>
        <w:tc>
          <w:tcPr>
            <w:tcW w:w="1815" w:type="dxa"/>
            <w:vMerge w:val="continue"/>
            <w:vAlign w:val="center"/>
          </w:tcPr>
          <w:p w14:paraId="19B5799A">
            <w:pPr>
              <w:pStyle w:val="23"/>
              <w:bidi w:val="0"/>
              <w:rPr>
                <w:rFonts w:hint="default" w:ascii="Times New Roman" w:hAnsi="Times New Roman" w:cs="Times New Roman"/>
                <w:color w:val="auto"/>
                <w:lang w:eastAsia="zh-CN"/>
              </w:rPr>
            </w:pPr>
          </w:p>
        </w:tc>
        <w:tc>
          <w:tcPr>
            <w:tcW w:w="3267" w:type="dxa"/>
            <w:vAlign w:val="center"/>
          </w:tcPr>
          <w:p w14:paraId="246696FF">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仪器编号/名称/型号</w:t>
            </w:r>
          </w:p>
        </w:tc>
        <w:tc>
          <w:tcPr>
            <w:tcW w:w="2461" w:type="dxa"/>
            <w:tcBorders>
              <w:right w:val="nil"/>
            </w:tcBorders>
            <w:vAlign w:val="center"/>
          </w:tcPr>
          <w:p w14:paraId="0935C6DE">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溯源有效性</w:t>
            </w:r>
          </w:p>
        </w:tc>
      </w:tr>
      <w:tr w14:paraId="0D9EEF31">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528" w:type="dxa"/>
            <w:vMerge w:val="restart"/>
            <w:tcBorders>
              <w:left w:val="nil"/>
            </w:tcBorders>
            <w:vAlign w:val="center"/>
          </w:tcPr>
          <w:p w14:paraId="40F2BDA1">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噪声</w:t>
            </w:r>
          </w:p>
        </w:tc>
        <w:tc>
          <w:tcPr>
            <w:tcW w:w="1815" w:type="dxa"/>
            <w:vMerge w:val="restart"/>
            <w:vAlign w:val="center"/>
          </w:tcPr>
          <w:p w14:paraId="39B39882">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工业企业厂界噪声</w:t>
            </w:r>
          </w:p>
        </w:tc>
        <w:tc>
          <w:tcPr>
            <w:tcW w:w="3267" w:type="dxa"/>
            <w:vAlign w:val="center"/>
          </w:tcPr>
          <w:p w14:paraId="78401FEA">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FJZK-SB1477/多功能声级计/AWA5688</w:t>
            </w:r>
          </w:p>
        </w:tc>
        <w:tc>
          <w:tcPr>
            <w:tcW w:w="2461" w:type="dxa"/>
            <w:tcBorders>
              <w:right w:val="nil"/>
            </w:tcBorders>
            <w:vAlign w:val="center"/>
          </w:tcPr>
          <w:p w14:paraId="41E3D72D">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2024/11/22</w:t>
            </w:r>
          </w:p>
        </w:tc>
      </w:tr>
      <w:tr w14:paraId="61E28E10">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528" w:type="dxa"/>
            <w:vMerge w:val="continue"/>
            <w:tcBorders>
              <w:left w:val="nil"/>
            </w:tcBorders>
            <w:vAlign w:val="center"/>
          </w:tcPr>
          <w:p w14:paraId="3D5CF8B2">
            <w:pPr>
              <w:pStyle w:val="23"/>
              <w:bidi w:val="0"/>
              <w:rPr>
                <w:rFonts w:hint="default" w:ascii="Times New Roman" w:hAnsi="Times New Roman" w:cs="Times New Roman"/>
                <w:color w:val="auto"/>
                <w:lang w:eastAsia="zh-CN"/>
              </w:rPr>
            </w:pPr>
          </w:p>
        </w:tc>
        <w:tc>
          <w:tcPr>
            <w:tcW w:w="1815" w:type="dxa"/>
            <w:vMerge w:val="continue"/>
            <w:vAlign w:val="center"/>
          </w:tcPr>
          <w:p w14:paraId="57EE45FE">
            <w:pPr>
              <w:pStyle w:val="23"/>
              <w:bidi w:val="0"/>
              <w:rPr>
                <w:rFonts w:hint="default" w:ascii="Times New Roman" w:hAnsi="Times New Roman" w:cs="Times New Roman"/>
                <w:color w:val="auto"/>
                <w:lang w:eastAsia="zh-CN"/>
              </w:rPr>
            </w:pPr>
          </w:p>
        </w:tc>
        <w:tc>
          <w:tcPr>
            <w:tcW w:w="3267" w:type="dxa"/>
            <w:vAlign w:val="center"/>
          </w:tcPr>
          <w:p w14:paraId="4E0C65FD">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FJZK-SB1484</w:t>
            </w:r>
            <w:r>
              <w:rPr>
                <w:rFonts w:hint="default" w:ascii="Times New Roman" w:hAnsi="Times New Roman" w:cs="Times New Roman"/>
                <w:color w:val="auto"/>
                <w:lang w:val="en-US" w:eastAsia="zh-CN"/>
              </w:rPr>
              <w:t>/多功能声级计/AWA5688</w:t>
            </w:r>
          </w:p>
        </w:tc>
        <w:tc>
          <w:tcPr>
            <w:tcW w:w="2461" w:type="dxa"/>
            <w:tcBorders>
              <w:right w:val="nil"/>
            </w:tcBorders>
            <w:vAlign w:val="center"/>
          </w:tcPr>
          <w:p w14:paraId="146342AF">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2024/11/22</w:t>
            </w:r>
          </w:p>
        </w:tc>
      </w:tr>
      <w:tr w14:paraId="75844E93">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528" w:type="dxa"/>
            <w:vMerge w:val="continue"/>
            <w:tcBorders>
              <w:left w:val="nil"/>
            </w:tcBorders>
            <w:vAlign w:val="center"/>
          </w:tcPr>
          <w:p w14:paraId="6952520F">
            <w:pPr>
              <w:pStyle w:val="23"/>
              <w:bidi w:val="0"/>
              <w:rPr>
                <w:rFonts w:hint="default" w:ascii="Times New Roman" w:hAnsi="Times New Roman" w:cs="Times New Roman"/>
                <w:color w:val="auto"/>
                <w:lang w:eastAsia="zh-CN"/>
              </w:rPr>
            </w:pPr>
          </w:p>
        </w:tc>
        <w:tc>
          <w:tcPr>
            <w:tcW w:w="1815" w:type="dxa"/>
            <w:vMerge w:val="continue"/>
            <w:vAlign w:val="center"/>
          </w:tcPr>
          <w:p w14:paraId="2F3F5C6E">
            <w:pPr>
              <w:pStyle w:val="23"/>
              <w:bidi w:val="0"/>
              <w:rPr>
                <w:rFonts w:hint="default" w:ascii="Times New Roman" w:hAnsi="Times New Roman" w:cs="Times New Roman"/>
                <w:color w:val="auto"/>
                <w:lang w:eastAsia="zh-CN"/>
              </w:rPr>
            </w:pPr>
          </w:p>
        </w:tc>
        <w:tc>
          <w:tcPr>
            <w:tcW w:w="3267" w:type="dxa"/>
            <w:vAlign w:val="center"/>
          </w:tcPr>
          <w:p w14:paraId="3D2A4208">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FJZK-SB1704/声校准器/AWA6022A</w:t>
            </w:r>
          </w:p>
        </w:tc>
        <w:tc>
          <w:tcPr>
            <w:tcW w:w="2461" w:type="dxa"/>
            <w:tcBorders>
              <w:right w:val="nil"/>
            </w:tcBorders>
            <w:vAlign w:val="center"/>
          </w:tcPr>
          <w:p w14:paraId="0086A2A4">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2025/6/13</w:t>
            </w:r>
          </w:p>
        </w:tc>
      </w:tr>
      <w:tr w14:paraId="513FF430">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528" w:type="dxa"/>
            <w:tcBorders>
              <w:left w:val="nil"/>
            </w:tcBorders>
            <w:vAlign w:val="center"/>
          </w:tcPr>
          <w:p w14:paraId="4C5A468F">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固定源废气</w:t>
            </w:r>
            <w:r>
              <w:rPr>
                <w:rFonts w:hint="default" w:ascii="Times New Roman" w:hAnsi="Times New Roman" w:cs="Times New Roman"/>
                <w:color w:val="auto"/>
                <w:lang w:val="en-US" w:eastAsia="zh-CN"/>
              </w:rPr>
              <w:t>采样仪器</w:t>
            </w:r>
          </w:p>
        </w:tc>
        <w:tc>
          <w:tcPr>
            <w:tcW w:w="1815" w:type="dxa"/>
            <w:vAlign w:val="center"/>
          </w:tcPr>
          <w:p w14:paraId="234B381A">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颗粒物</w:t>
            </w:r>
          </w:p>
        </w:tc>
        <w:tc>
          <w:tcPr>
            <w:tcW w:w="3267" w:type="dxa"/>
            <w:vAlign w:val="center"/>
          </w:tcPr>
          <w:p w14:paraId="4395D548">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FJZK-SB1350</w:t>
            </w:r>
            <w:r>
              <w:rPr>
                <w:rFonts w:hint="default" w:ascii="Times New Roman" w:hAnsi="Times New Roman" w:cs="Times New Roman"/>
                <w:color w:val="auto"/>
                <w:lang w:val="en-US" w:eastAsia="zh-CN"/>
              </w:rPr>
              <w:t>/自动烟尘烟气测试仪/XA-80F</w:t>
            </w:r>
          </w:p>
        </w:tc>
        <w:tc>
          <w:tcPr>
            <w:tcW w:w="2461" w:type="dxa"/>
            <w:tcBorders>
              <w:right w:val="nil"/>
            </w:tcBorders>
            <w:vAlign w:val="center"/>
          </w:tcPr>
          <w:p w14:paraId="6F9FCD3D">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2025/4/8</w:t>
            </w:r>
          </w:p>
        </w:tc>
      </w:tr>
      <w:tr w14:paraId="0FD94C02">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528" w:type="dxa"/>
            <w:tcBorders>
              <w:left w:val="nil"/>
            </w:tcBorders>
            <w:vAlign w:val="center"/>
          </w:tcPr>
          <w:p w14:paraId="7012B1BC">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无组织废气</w:t>
            </w:r>
            <w:r>
              <w:rPr>
                <w:rFonts w:hint="default" w:ascii="Times New Roman" w:hAnsi="Times New Roman" w:cs="Times New Roman"/>
                <w:color w:val="auto"/>
                <w:lang w:val="en-US" w:eastAsia="zh-CN"/>
              </w:rPr>
              <w:t>采样仪器</w:t>
            </w:r>
          </w:p>
        </w:tc>
        <w:tc>
          <w:tcPr>
            <w:tcW w:w="1815" w:type="dxa"/>
            <w:vAlign w:val="center"/>
          </w:tcPr>
          <w:p w14:paraId="5ECF7CF0">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颗粒物</w:t>
            </w:r>
          </w:p>
        </w:tc>
        <w:tc>
          <w:tcPr>
            <w:tcW w:w="3267" w:type="dxa"/>
            <w:vAlign w:val="center"/>
          </w:tcPr>
          <w:p w14:paraId="77AF70AE">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FJZK-SB1673/智能颗粒物采样器/</w:t>
            </w:r>
            <w:r>
              <w:rPr>
                <w:rFonts w:hint="default" w:ascii="Times New Roman" w:hAnsi="Times New Roman" w:cs="Times New Roman"/>
                <w:color w:val="auto"/>
              </w:rPr>
              <w:t>XA-100K型</w:t>
            </w:r>
          </w:p>
        </w:tc>
        <w:tc>
          <w:tcPr>
            <w:tcW w:w="2461" w:type="dxa"/>
            <w:tcBorders>
              <w:right w:val="nil"/>
            </w:tcBorders>
            <w:vAlign w:val="center"/>
          </w:tcPr>
          <w:p w14:paraId="22ADA536">
            <w:pPr>
              <w:pStyle w:val="23"/>
              <w:bidi w:val="0"/>
              <w:rPr>
                <w:rFonts w:hint="default" w:ascii="Times New Roman" w:hAnsi="Times New Roman" w:cs="Times New Roman"/>
                <w:color w:val="auto"/>
                <w:lang w:eastAsia="zh-CN"/>
              </w:rPr>
            </w:pPr>
            <w:r>
              <w:rPr>
                <w:rFonts w:hint="default" w:ascii="Times New Roman" w:hAnsi="Times New Roman" w:cs="Times New Roman"/>
                <w:color w:val="auto"/>
              </w:rPr>
              <w:t>2025/4/20</w:t>
            </w:r>
          </w:p>
        </w:tc>
      </w:tr>
      <w:tr w14:paraId="3702BF25">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528" w:type="dxa"/>
            <w:tcBorders>
              <w:left w:val="nil"/>
            </w:tcBorders>
            <w:vAlign w:val="center"/>
          </w:tcPr>
          <w:p w14:paraId="03049311">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废气分析仪器</w:t>
            </w:r>
          </w:p>
        </w:tc>
        <w:tc>
          <w:tcPr>
            <w:tcW w:w="1815" w:type="dxa"/>
            <w:vAlign w:val="center"/>
          </w:tcPr>
          <w:p w14:paraId="6C65F5C3">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颗粒物</w:t>
            </w:r>
          </w:p>
        </w:tc>
        <w:tc>
          <w:tcPr>
            <w:tcW w:w="3267" w:type="dxa"/>
            <w:vAlign w:val="center"/>
          </w:tcPr>
          <w:p w14:paraId="4601C370">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FJZK-SB199</w:t>
            </w:r>
            <w:r>
              <w:rPr>
                <w:rFonts w:hint="default" w:ascii="Times New Roman" w:hAnsi="Times New Roman" w:cs="Times New Roman"/>
                <w:color w:val="auto"/>
                <w:lang w:val="en-US" w:eastAsia="zh-CN"/>
              </w:rPr>
              <w:t>/电子天平/AUW120D</w:t>
            </w:r>
          </w:p>
        </w:tc>
        <w:tc>
          <w:tcPr>
            <w:tcW w:w="2461" w:type="dxa"/>
            <w:tcBorders>
              <w:right w:val="nil"/>
            </w:tcBorders>
            <w:vAlign w:val="center"/>
          </w:tcPr>
          <w:p w14:paraId="4A180022">
            <w:pPr>
              <w:pStyle w:val="23"/>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2024/12/13</w:t>
            </w:r>
          </w:p>
        </w:tc>
      </w:tr>
    </w:tbl>
    <w:p w14:paraId="4E2CC98C">
      <w:pPr>
        <w:pStyle w:val="3"/>
        <w:bidi w:val="0"/>
        <w:rPr>
          <w:rFonts w:hint="default" w:ascii="Times New Roman" w:hAnsi="Times New Roman" w:cs="Times New Roman"/>
          <w:color w:val="auto"/>
        </w:rPr>
      </w:pPr>
      <w:bookmarkStart w:id="59" w:name="_Toc12548"/>
      <w:r>
        <w:rPr>
          <w:rFonts w:hint="default" w:ascii="Times New Roman" w:hAnsi="Times New Roman" w:cs="Times New Roman"/>
          <w:color w:val="auto"/>
        </w:rPr>
        <w:t>8.3人员能力</w:t>
      </w:r>
      <w:bookmarkEnd w:id="59"/>
    </w:p>
    <w:p w14:paraId="244EB107">
      <w:pPr>
        <w:bidi w:val="0"/>
        <w:rPr>
          <w:rFonts w:hint="default" w:ascii="Times New Roman" w:hAnsi="Times New Roman" w:cs="Times New Roman"/>
          <w:color w:val="auto"/>
        </w:rPr>
      </w:pPr>
      <w:r>
        <w:rPr>
          <w:rFonts w:hint="default" w:ascii="Times New Roman" w:hAnsi="Times New Roman" w:cs="Times New Roman"/>
          <w:color w:val="auto"/>
        </w:rPr>
        <w:t>现场采样、检测分析人员全部经过技术培训，持证上岗。监测人员见表8</w:t>
      </w:r>
      <w:r>
        <w:rPr>
          <w:rFonts w:hint="default" w:ascii="Times New Roman" w:hAnsi="Times New Roman" w:cs="Times New Roman"/>
          <w:color w:val="auto"/>
          <w:lang w:val="en-US" w:eastAsia="zh-CN"/>
        </w:rPr>
        <w:t>.3</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default" w:ascii="Times New Roman" w:hAnsi="Times New Roman" w:cs="Times New Roman"/>
          <w:color w:val="auto"/>
        </w:rPr>
        <w:t>。</w:t>
      </w:r>
    </w:p>
    <w:p w14:paraId="11B2E980">
      <w:pPr>
        <w:pStyle w:val="21"/>
        <w:bidi w:val="0"/>
        <w:rPr>
          <w:rFonts w:hint="default" w:ascii="Times New Roman" w:hAnsi="Times New Roman" w:cs="Times New Roman"/>
          <w:color w:val="auto"/>
        </w:rPr>
      </w:pPr>
      <w:r>
        <w:rPr>
          <w:rFonts w:hint="default" w:ascii="Times New Roman" w:hAnsi="Times New Roman" w:cs="Times New Roman"/>
          <w:color w:val="auto"/>
        </w:rPr>
        <w:t>表 8</w:t>
      </w:r>
      <w:r>
        <w:rPr>
          <w:rFonts w:hint="default" w:ascii="Times New Roman" w:hAnsi="Times New Roman" w:cs="Times New Roman"/>
          <w:color w:val="auto"/>
          <w:lang w:val="en-US" w:eastAsia="zh-CN"/>
        </w:rPr>
        <w:t>.3</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default" w:ascii="Times New Roman" w:hAnsi="Times New Roman" w:cs="Times New Roman"/>
          <w:color w:val="auto"/>
        </w:rPr>
        <w:t xml:space="preserve"> 监测人员名单一览表</w:t>
      </w:r>
    </w:p>
    <w:tbl>
      <w:tblPr>
        <w:tblStyle w:val="20"/>
        <w:tblW w:w="9071" w:type="dxa"/>
        <w:jc w:val="center"/>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Layout w:type="fixed"/>
        <w:tblCellMar>
          <w:top w:w="0" w:type="dxa"/>
          <w:left w:w="0" w:type="dxa"/>
          <w:bottom w:w="0" w:type="dxa"/>
          <w:right w:w="0" w:type="dxa"/>
        </w:tblCellMar>
      </w:tblPr>
      <w:tblGrid>
        <w:gridCol w:w="706"/>
        <w:gridCol w:w="2188"/>
        <w:gridCol w:w="1372"/>
        <w:gridCol w:w="2145"/>
        <w:gridCol w:w="2660"/>
      </w:tblGrid>
      <w:tr w14:paraId="12B43C51">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6" w:type="dxa"/>
            <w:tcBorders>
              <w:left w:val="nil"/>
            </w:tcBorders>
            <w:vAlign w:val="center"/>
          </w:tcPr>
          <w:p w14:paraId="135AE43A">
            <w:pPr>
              <w:pStyle w:val="23"/>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序号</w:t>
            </w:r>
          </w:p>
        </w:tc>
        <w:tc>
          <w:tcPr>
            <w:tcW w:w="2188" w:type="dxa"/>
            <w:vAlign w:val="center"/>
          </w:tcPr>
          <w:p w14:paraId="2219A0A1">
            <w:pPr>
              <w:pStyle w:val="23"/>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姓名</w:t>
            </w:r>
          </w:p>
        </w:tc>
        <w:tc>
          <w:tcPr>
            <w:tcW w:w="1372" w:type="dxa"/>
            <w:vAlign w:val="center"/>
          </w:tcPr>
          <w:p w14:paraId="26B942CD">
            <w:pPr>
              <w:pStyle w:val="23"/>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职位</w:t>
            </w:r>
          </w:p>
        </w:tc>
        <w:tc>
          <w:tcPr>
            <w:tcW w:w="2145" w:type="dxa"/>
            <w:vAlign w:val="center"/>
          </w:tcPr>
          <w:p w14:paraId="249C5F9C">
            <w:pPr>
              <w:pStyle w:val="23"/>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承担项目</w:t>
            </w:r>
          </w:p>
        </w:tc>
        <w:tc>
          <w:tcPr>
            <w:tcW w:w="2660" w:type="dxa"/>
            <w:tcBorders>
              <w:right w:val="nil"/>
            </w:tcBorders>
            <w:vAlign w:val="center"/>
          </w:tcPr>
          <w:p w14:paraId="297BD566">
            <w:pPr>
              <w:pStyle w:val="23"/>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上岗证编号</w:t>
            </w:r>
          </w:p>
        </w:tc>
      </w:tr>
      <w:tr w14:paraId="46E8D3D7">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6" w:type="dxa"/>
            <w:tcBorders>
              <w:left w:val="nil"/>
            </w:tcBorders>
            <w:vAlign w:val="center"/>
          </w:tcPr>
          <w:p w14:paraId="06BD4C3E">
            <w:pPr>
              <w:pStyle w:val="23"/>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1</w:t>
            </w:r>
          </w:p>
        </w:tc>
        <w:tc>
          <w:tcPr>
            <w:tcW w:w="2188" w:type="dxa"/>
            <w:vAlign w:val="center"/>
          </w:tcPr>
          <w:p w14:paraId="1D6EA834">
            <w:pPr>
              <w:pStyle w:val="23"/>
              <w:bidi w:val="0"/>
              <w:jc w:val="center"/>
              <w:rPr>
                <w:rFonts w:hint="default" w:ascii="Times New Roman" w:hAnsi="Times New Roman" w:cs="Times New Roman"/>
                <w:color w:val="auto"/>
              </w:rPr>
            </w:pPr>
            <w:r>
              <w:rPr>
                <w:rFonts w:hint="default" w:ascii="Times New Roman" w:hAnsi="Times New Roman" w:cs="Times New Roman"/>
                <w:color w:val="auto"/>
                <w:lang w:val="en-US" w:eastAsia="zh-CN"/>
              </w:rPr>
              <w:t>林森</w:t>
            </w:r>
          </w:p>
        </w:tc>
        <w:tc>
          <w:tcPr>
            <w:tcW w:w="1372" w:type="dxa"/>
            <w:vAlign w:val="center"/>
          </w:tcPr>
          <w:p w14:paraId="2AFE919A">
            <w:pPr>
              <w:pStyle w:val="23"/>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采样员</w:t>
            </w:r>
          </w:p>
        </w:tc>
        <w:tc>
          <w:tcPr>
            <w:tcW w:w="2145" w:type="dxa"/>
            <w:vAlign w:val="center"/>
          </w:tcPr>
          <w:p w14:paraId="0E29164C">
            <w:pPr>
              <w:pStyle w:val="23"/>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现场采样</w:t>
            </w:r>
          </w:p>
        </w:tc>
        <w:tc>
          <w:tcPr>
            <w:tcW w:w="2660" w:type="dxa"/>
            <w:tcBorders>
              <w:right w:val="nil"/>
            </w:tcBorders>
            <w:vAlign w:val="center"/>
          </w:tcPr>
          <w:p w14:paraId="583E1A42">
            <w:pPr>
              <w:pStyle w:val="23"/>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中凯（检）第23065号</w:t>
            </w:r>
          </w:p>
        </w:tc>
      </w:tr>
      <w:tr w14:paraId="31C72CFB">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6" w:type="dxa"/>
            <w:tcBorders>
              <w:left w:val="nil"/>
            </w:tcBorders>
            <w:vAlign w:val="center"/>
          </w:tcPr>
          <w:p w14:paraId="78482F4B">
            <w:pPr>
              <w:pStyle w:val="23"/>
              <w:bidi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2</w:t>
            </w:r>
          </w:p>
        </w:tc>
        <w:tc>
          <w:tcPr>
            <w:tcW w:w="2188" w:type="dxa"/>
            <w:vAlign w:val="center"/>
          </w:tcPr>
          <w:p w14:paraId="23BD52A3">
            <w:pPr>
              <w:pStyle w:val="23"/>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李秀虹</w:t>
            </w:r>
          </w:p>
        </w:tc>
        <w:tc>
          <w:tcPr>
            <w:tcW w:w="1372" w:type="dxa"/>
            <w:vAlign w:val="center"/>
          </w:tcPr>
          <w:p w14:paraId="7FD62E63">
            <w:pPr>
              <w:pStyle w:val="2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分析员</w:t>
            </w:r>
          </w:p>
        </w:tc>
        <w:tc>
          <w:tcPr>
            <w:tcW w:w="2145" w:type="dxa"/>
            <w:vAlign w:val="center"/>
          </w:tcPr>
          <w:p w14:paraId="196C8759">
            <w:pPr>
              <w:pStyle w:val="23"/>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实验分析</w:t>
            </w:r>
          </w:p>
        </w:tc>
        <w:tc>
          <w:tcPr>
            <w:tcW w:w="2660" w:type="dxa"/>
            <w:tcBorders>
              <w:right w:val="nil"/>
            </w:tcBorders>
            <w:vAlign w:val="center"/>
          </w:tcPr>
          <w:p w14:paraId="40829A76">
            <w:pPr>
              <w:pStyle w:val="23"/>
              <w:bidi w:val="0"/>
              <w:jc w:val="center"/>
              <w:rPr>
                <w:rFonts w:hint="default" w:ascii="Times New Roman" w:hAnsi="Times New Roman" w:cs="Times New Roman"/>
                <w:color w:val="auto"/>
              </w:rPr>
            </w:pPr>
            <w:r>
              <w:rPr>
                <w:rFonts w:hint="default" w:ascii="Times New Roman" w:hAnsi="Times New Roman" w:cs="Times New Roman"/>
                <w:color w:val="auto"/>
                <w:lang w:val="en-US" w:eastAsia="zh-CN"/>
              </w:rPr>
              <w:t>中凯（检）第23022号</w:t>
            </w:r>
          </w:p>
        </w:tc>
      </w:tr>
    </w:tbl>
    <w:p w14:paraId="0052FABD">
      <w:pPr>
        <w:pStyle w:val="3"/>
        <w:bidi w:val="0"/>
        <w:rPr>
          <w:rFonts w:hint="default"/>
          <w:color w:val="auto"/>
        </w:rPr>
      </w:pPr>
      <w:bookmarkStart w:id="60" w:name="_Toc3446"/>
      <w:r>
        <w:rPr>
          <w:rFonts w:hint="default"/>
          <w:color w:val="auto"/>
        </w:rPr>
        <w:t>8.4监测分析过程中的质量保证和质量控制</w:t>
      </w:r>
      <w:bookmarkEnd w:id="60"/>
    </w:p>
    <w:p w14:paraId="1ED9570E">
      <w:pPr>
        <w:bidi w:val="0"/>
        <w:rPr>
          <w:rFonts w:hint="default" w:ascii="Times New Roman" w:hAnsi="Times New Roman" w:cs="Times New Roman"/>
          <w:color w:val="auto"/>
        </w:rPr>
      </w:pPr>
      <w:r>
        <w:rPr>
          <w:rFonts w:hint="default" w:ascii="Times New Roman" w:hAnsi="Times New Roman" w:cs="Times New Roman"/>
          <w:color w:val="auto"/>
        </w:rPr>
        <w:t>为保证检测分析结果的准确可靠性，根据表8</w:t>
      </w:r>
      <w:r>
        <w:rPr>
          <w:rFonts w:hint="default" w:ascii="Times New Roman" w:hAnsi="Times New Roman" w:cs="Times New Roman"/>
          <w:color w:val="auto"/>
          <w:lang w:val="en-US" w:eastAsia="zh-CN"/>
        </w:rPr>
        <w:t>.1</w:t>
      </w:r>
      <w:r>
        <w:rPr>
          <w:rFonts w:hint="default" w:ascii="Times New Roman" w:hAnsi="Times New Roman" w:cs="Times New Roman"/>
          <w:color w:val="auto"/>
        </w:rPr>
        <w:t>-1所列举的标准分析方法要求与规定进行全程质量控制。</w:t>
      </w:r>
    </w:p>
    <w:p w14:paraId="4D148058">
      <w:pPr>
        <w:pStyle w:val="4"/>
        <w:bidi w:val="0"/>
        <w:rPr>
          <w:rFonts w:hint="default"/>
          <w:color w:val="auto"/>
        </w:rPr>
      </w:pPr>
      <w:bookmarkStart w:id="61" w:name="_Toc12692"/>
      <w:r>
        <w:rPr>
          <w:rFonts w:hint="default"/>
          <w:color w:val="auto"/>
        </w:rPr>
        <w:t>8.4.1气体监测分析过程中的质量保证和质量控制</w:t>
      </w:r>
      <w:bookmarkEnd w:id="61"/>
    </w:p>
    <w:p w14:paraId="412B5012">
      <w:pPr>
        <w:bidi w:val="0"/>
        <w:rPr>
          <w:rFonts w:hint="default" w:ascii="Times New Roman" w:hAnsi="Times New Roman" w:cs="Times New Roman"/>
          <w:color w:val="auto"/>
        </w:rPr>
      </w:pPr>
      <w:r>
        <w:rPr>
          <w:rFonts w:hint="default" w:ascii="Times New Roman" w:hAnsi="Times New Roman" w:cs="Times New Roman"/>
          <w:color w:val="auto"/>
        </w:rPr>
        <w:t>1、所有参与采样人员和分析人员均按要求持证上岗；</w:t>
      </w:r>
    </w:p>
    <w:p w14:paraId="4B0ACE55">
      <w:pPr>
        <w:bidi w:val="0"/>
        <w:rPr>
          <w:rFonts w:hint="default" w:ascii="Times New Roman" w:hAnsi="Times New Roman" w:cs="Times New Roman"/>
          <w:color w:val="auto"/>
        </w:rPr>
      </w:pPr>
      <w:r>
        <w:rPr>
          <w:rFonts w:hint="default" w:ascii="Times New Roman" w:hAnsi="Times New Roman" w:cs="Times New Roman"/>
          <w:color w:val="auto"/>
        </w:rPr>
        <w:t>2、所有涉及的采样仪器和分析仪器均按要求检定和校准，并定期进行期间核查和内部校准。所有采样记录和分析测试结果，按规定和要求三级审核；</w:t>
      </w:r>
    </w:p>
    <w:p w14:paraId="3FE347E6">
      <w:pPr>
        <w:bidi w:val="0"/>
        <w:rPr>
          <w:rFonts w:hint="default" w:ascii="Times New Roman" w:hAnsi="Times New Roman" w:cs="Times New Roman"/>
          <w:color w:val="auto"/>
        </w:rPr>
      </w:pPr>
      <w:r>
        <w:rPr>
          <w:rFonts w:hint="default" w:ascii="Times New Roman" w:hAnsi="Times New Roman" w:cs="Times New Roman"/>
          <w:color w:val="auto"/>
        </w:rPr>
        <w:t>3、</w:t>
      </w:r>
      <w:r>
        <w:rPr>
          <w:rFonts w:hint="default" w:ascii="Times New Roman" w:hAnsi="Times New Roman" w:cs="Times New Roman"/>
          <w:color w:val="auto"/>
          <w:lang w:val="en-US" w:eastAsia="zh-CN"/>
        </w:rPr>
        <w:t>气体监测过程中按照《大气污染物无组织排放监测技术导则》（HJ/T 55-2000）、《固定源废气监测技术规范》（HJ/T397-2007）、《固定污染源监测质量保证与质量控制技术规范（试行）》（HJ/T373-2007）以及相关监测项目分析方法规定的样品采集、运输、保存、实验室分析和数据计算等实施全过程质量控制</w:t>
      </w:r>
      <w:r>
        <w:rPr>
          <w:rFonts w:hint="eastAsia" w:ascii="Times New Roman" w:hAnsi="Times New Roman" w:cs="Times New Roman"/>
          <w:color w:val="auto"/>
          <w:lang w:val="en-US" w:eastAsia="zh-CN"/>
        </w:rPr>
        <w:t>；</w:t>
      </w:r>
    </w:p>
    <w:p w14:paraId="1D3DE5A7">
      <w:pPr>
        <w:bidi w:val="0"/>
        <w:rPr>
          <w:rFonts w:hint="default" w:ascii="Times New Roman" w:hAnsi="Times New Roman" w:cs="Times New Roman"/>
          <w:color w:val="auto"/>
        </w:rPr>
      </w:pPr>
      <w:r>
        <w:rPr>
          <w:rFonts w:hint="default" w:ascii="Times New Roman" w:hAnsi="Times New Roman" w:cs="Times New Roman"/>
          <w:color w:val="auto"/>
        </w:rPr>
        <w:t>4、为保证本次竣工验收监测结果的准确可靠，监测期间的样品收集、运输和保存均按规定和国家标准分析方法的技术要求进行；</w:t>
      </w:r>
    </w:p>
    <w:p w14:paraId="08764C5A">
      <w:pPr>
        <w:bidi w:val="0"/>
        <w:rPr>
          <w:rFonts w:hint="eastAsia" w:ascii="Times New Roman" w:hAnsi="Times New Roman" w:eastAsia="宋体" w:cs="Times New Roman"/>
          <w:color w:val="auto"/>
          <w:lang w:eastAsia="zh-CN"/>
        </w:rPr>
      </w:pPr>
      <w:r>
        <w:rPr>
          <w:rFonts w:hint="default" w:ascii="Times New Roman" w:hAnsi="Times New Roman" w:cs="Times New Roman"/>
          <w:color w:val="auto"/>
        </w:rPr>
        <w:t>5、监测期间公司正常生产</w:t>
      </w:r>
      <w:r>
        <w:rPr>
          <w:rFonts w:hint="eastAsia" w:ascii="Times New Roman" w:hAnsi="Times New Roman" w:cs="Times New Roman"/>
          <w:color w:val="auto"/>
          <w:lang w:eastAsia="zh-CN"/>
        </w:rPr>
        <w:t>；</w:t>
      </w:r>
    </w:p>
    <w:p w14:paraId="28EDF8DD">
      <w:pPr>
        <w:bidi w:val="0"/>
        <w:rPr>
          <w:rFonts w:hint="default" w:ascii="Times New Roman" w:hAnsi="Times New Roman" w:cs="Times New Roman"/>
          <w:color w:val="auto"/>
        </w:rPr>
      </w:pPr>
      <w:r>
        <w:rPr>
          <w:rFonts w:hint="default" w:ascii="Times New Roman" w:hAnsi="Times New Roman" w:cs="Times New Roman"/>
          <w:color w:val="auto"/>
        </w:rPr>
        <w:t>6、烟尘采样器在进入现场前应对采样器进行校核。</w:t>
      </w:r>
    </w:p>
    <w:p w14:paraId="064E3DFF">
      <w:pPr>
        <w:bidi w:val="0"/>
        <w:rPr>
          <w:rFonts w:hint="default" w:ascii="Times New Roman" w:hAnsi="Times New Roman" w:cs="Times New Roman"/>
          <w:color w:val="auto"/>
        </w:rPr>
      </w:pPr>
      <w:r>
        <w:rPr>
          <w:rFonts w:hint="default" w:ascii="Times New Roman" w:hAnsi="Times New Roman" w:cs="Times New Roman"/>
          <w:color w:val="auto"/>
          <w:lang w:val="en-US" w:eastAsia="zh-CN"/>
        </w:rPr>
        <w:t>采样器流量计校准</w:t>
      </w:r>
      <w:r>
        <w:rPr>
          <w:rFonts w:hint="default" w:ascii="Times New Roman" w:hAnsi="Times New Roman" w:cs="Times New Roman"/>
          <w:color w:val="auto"/>
        </w:rPr>
        <w:t>结果</w:t>
      </w:r>
      <w:r>
        <w:rPr>
          <w:rFonts w:hint="default" w:ascii="Times New Roman" w:hAnsi="Times New Roman" w:cs="Times New Roman"/>
          <w:color w:val="auto"/>
          <w:lang w:val="en-US" w:eastAsia="zh-CN"/>
        </w:rPr>
        <w:t>见</w:t>
      </w:r>
      <w:r>
        <w:rPr>
          <w:rFonts w:hint="default" w:ascii="Times New Roman" w:hAnsi="Times New Roman" w:cs="Times New Roman"/>
          <w:color w:val="auto"/>
        </w:rPr>
        <w:t>表8</w:t>
      </w:r>
      <w:r>
        <w:rPr>
          <w:rFonts w:hint="default" w:ascii="Times New Roman" w:hAnsi="Times New Roman"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default" w:ascii="Times New Roman" w:hAnsi="Times New Roman" w:cs="Times New Roman"/>
          <w:color w:val="auto"/>
        </w:rPr>
        <w:t>、</w:t>
      </w:r>
      <w:r>
        <w:rPr>
          <w:rFonts w:hint="default" w:ascii="Times New Roman" w:hAnsi="Times New Roman" w:cs="Times New Roman"/>
          <w:color w:val="auto"/>
          <w:lang w:val="en-US" w:eastAsia="zh-CN"/>
        </w:rPr>
        <w:t>废气检测质量控制</w:t>
      </w:r>
      <w:r>
        <w:rPr>
          <w:rFonts w:hint="default" w:ascii="Times New Roman" w:hAnsi="Times New Roman" w:cs="Times New Roman"/>
          <w:color w:val="auto"/>
        </w:rPr>
        <w:t>见表8</w:t>
      </w:r>
      <w:r>
        <w:rPr>
          <w:rFonts w:hint="default" w:ascii="Times New Roman" w:hAnsi="Times New Roman"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全程序空白分析结果</w:t>
      </w:r>
      <w:r>
        <w:rPr>
          <w:rFonts w:hint="default" w:ascii="Times New Roman" w:hAnsi="Times New Roman" w:cs="Times New Roman"/>
          <w:color w:val="auto"/>
          <w:lang w:eastAsia="zh-CN"/>
        </w:rPr>
        <w:t>见</w:t>
      </w:r>
      <w:r>
        <w:rPr>
          <w:rFonts w:hint="default" w:ascii="Times New Roman" w:hAnsi="Times New Roman" w:cs="Times New Roman"/>
          <w:color w:val="auto"/>
        </w:rPr>
        <w:t>表8</w:t>
      </w:r>
      <w:r>
        <w:rPr>
          <w:rFonts w:hint="default" w:ascii="Times New Roman" w:hAnsi="Times New Roman"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auto"/>
        </w:rPr>
        <w:t>。</w:t>
      </w:r>
    </w:p>
    <w:p w14:paraId="000868B8">
      <w:pPr>
        <w:pStyle w:val="21"/>
        <w:bidi w:val="0"/>
        <w:rPr>
          <w:rFonts w:hint="default" w:ascii="Times New Roman" w:hAnsi="Times New Roman" w:cs="Times New Roman"/>
          <w:color w:val="auto"/>
          <w:lang w:val="en-US" w:eastAsia="zh-CN"/>
        </w:rPr>
      </w:pPr>
      <w:r>
        <w:rPr>
          <w:rFonts w:hint="default" w:ascii="Times New Roman" w:hAnsi="Times New Roman" w:cs="Times New Roman"/>
          <w:color w:val="auto"/>
        </w:rPr>
        <w:t>表8</w:t>
      </w:r>
      <w:r>
        <w:rPr>
          <w:rFonts w:hint="default" w:ascii="Times New Roman" w:hAnsi="Times New Roman"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1 采样仪器校准结果一览表</w:t>
      </w:r>
    </w:p>
    <w:tbl>
      <w:tblPr>
        <w:tblStyle w:val="14"/>
        <w:tblW w:w="9071"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951"/>
        <w:gridCol w:w="1155"/>
        <w:gridCol w:w="987"/>
        <w:gridCol w:w="878"/>
        <w:gridCol w:w="796"/>
        <w:gridCol w:w="845"/>
        <w:gridCol w:w="795"/>
        <w:gridCol w:w="837"/>
        <w:gridCol w:w="889"/>
        <w:gridCol w:w="938"/>
      </w:tblGrid>
      <w:tr w14:paraId="58BCFA4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51" w:type="dxa"/>
            <w:vMerge w:val="restart"/>
            <w:tcBorders>
              <w:bottom w:val="single" w:color="000000" w:sz="4" w:space="0"/>
              <w:right w:val="single" w:color="000000" w:sz="4" w:space="0"/>
            </w:tcBorders>
            <w:shd w:val="clear" w:color="auto" w:fill="auto"/>
            <w:vAlign w:val="center"/>
          </w:tcPr>
          <w:p w14:paraId="7DDD918D">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校准日期</w:t>
            </w:r>
          </w:p>
        </w:tc>
        <w:tc>
          <w:tcPr>
            <w:tcW w:w="1155" w:type="dxa"/>
            <w:vMerge w:val="restart"/>
            <w:tcBorders>
              <w:left w:val="single" w:color="000000" w:sz="4" w:space="0"/>
              <w:bottom w:val="single" w:color="000000" w:sz="4" w:space="0"/>
              <w:right w:val="single" w:color="000000" w:sz="4" w:space="0"/>
            </w:tcBorders>
            <w:shd w:val="clear" w:color="auto" w:fill="auto"/>
            <w:vAlign w:val="center"/>
          </w:tcPr>
          <w:p w14:paraId="50E651C4">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仪器名称</w:t>
            </w:r>
          </w:p>
        </w:tc>
        <w:tc>
          <w:tcPr>
            <w:tcW w:w="987" w:type="dxa"/>
            <w:vMerge w:val="restart"/>
            <w:tcBorders>
              <w:left w:val="single" w:color="000000" w:sz="4" w:space="0"/>
              <w:bottom w:val="single" w:color="000000" w:sz="4" w:space="0"/>
              <w:right w:val="single" w:color="000000" w:sz="4" w:space="0"/>
            </w:tcBorders>
            <w:shd w:val="clear" w:color="auto" w:fill="auto"/>
            <w:vAlign w:val="center"/>
          </w:tcPr>
          <w:p w14:paraId="0995ABAE">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仪器型号</w:t>
            </w:r>
          </w:p>
        </w:tc>
        <w:tc>
          <w:tcPr>
            <w:tcW w:w="878" w:type="dxa"/>
            <w:vMerge w:val="restart"/>
            <w:tcBorders>
              <w:left w:val="single" w:color="000000" w:sz="4" w:space="0"/>
              <w:bottom w:val="single" w:color="000000" w:sz="4" w:space="0"/>
              <w:right w:val="single" w:color="000000" w:sz="4" w:space="0"/>
            </w:tcBorders>
            <w:shd w:val="clear" w:color="auto" w:fill="auto"/>
            <w:vAlign w:val="center"/>
          </w:tcPr>
          <w:p w14:paraId="03B29A62">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仪器编号</w:t>
            </w:r>
          </w:p>
        </w:tc>
        <w:tc>
          <w:tcPr>
            <w:tcW w:w="2436" w:type="dxa"/>
            <w:gridSpan w:val="3"/>
            <w:tcBorders>
              <w:left w:val="single" w:color="000000" w:sz="4" w:space="0"/>
              <w:bottom w:val="single" w:color="000000" w:sz="4" w:space="0"/>
              <w:right w:val="single" w:color="000000" w:sz="4" w:space="0"/>
            </w:tcBorders>
            <w:shd w:val="clear" w:color="auto" w:fill="auto"/>
            <w:vAlign w:val="center"/>
          </w:tcPr>
          <w:p w14:paraId="54F81677">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采样前校准情况</w:t>
            </w:r>
          </w:p>
        </w:tc>
        <w:tc>
          <w:tcPr>
            <w:tcW w:w="2664" w:type="dxa"/>
            <w:gridSpan w:val="3"/>
            <w:tcBorders>
              <w:left w:val="single" w:color="000000" w:sz="4" w:space="0"/>
              <w:bottom w:val="single" w:color="000000" w:sz="4" w:space="0"/>
            </w:tcBorders>
            <w:shd w:val="clear" w:color="auto" w:fill="auto"/>
            <w:vAlign w:val="center"/>
          </w:tcPr>
          <w:p w14:paraId="29B08CFE">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采样后校准情况</w:t>
            </w:r>
          </w:p>
        </w:tc>
      </w:tr>
      <w:tr w14:paraId="6659287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51" w:type="dxa"/>
            <w:vMerge w:val="continue"/>
            <w:tcBorders>
              <w:top w:val="single" w:color="000000" w:sz="4" w:space="0"/>
              <w:bottom w:val="single" w:color="000000" w:sz="4" w:space="0"/>
              <w:right w:val="single" w:color="000000" w:sz="4" w:space="0"/>
            </w:tcBorders>
            <w:shd w:val="clear" w:color="auto" w:fill="auto"/>
            <w:vAlign w:val="center"/>
          </w:tcPr>
          <w:p w14:paraId="3FC93E00">
            <w:pPr>
              <w:pStyle w:val="23"/>
              <w:bidi w:val="0"/>
              <w:rPr>
                <w:rFonts w:hint="default" w:ascii="Times New Roman" w:hAnsi="Times New Roman" w:cs="Times New Roman"/>
                <w:color w:val="auto"/>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13365C">
            <w:pPr>
              <w:pStyle w:val="23"/>
              <w:bidi w:val="0"/>
              <w:rPr>
                <w:rFonts w:hint="default" w:ascii="Times New Roman" w:hAnsi="Times New Roman" w:cs="Times New Roman"/>
                <w:color w:val="auto"/>
              </w:rPr>
            </w:pPr>
          </w:p>
        </w:tc>
        <w:tc>
          <w:tcPr>
            <w:tcW w:w="9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986034">
            <w:pPr>
              <w:pStyle w:val="23"/>
              <w:bidi w:val="0"/>
              <w:rPr>
                <w:rFonts w:hint="default" w:ascii="Times New Roman" w:hAnsi="Times New Roman" w:cs="Times New Roman"/>
                <w:color w:val="auto"/>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FC4BC">
            <w:pPr>
              <w:pStyle w:val="23"/>
              <w:bidi w:val="0"/>
              <w:rPr>
                <w:rFonts w:hint="default" w:ascii="Times New Roman" w:hAnsi="Times New Roman" w:cs="Times New Roman"/>
                <w:color w:val="auto"/>
              </w:rPr>
            </w:pP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7CEC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实际值L/min</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39C6">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表观值L/min</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9D902">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示值误差(%)</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5E4C1">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实际值L/min</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BFE61">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表观值L/min</w:t>
            </w:r>
          </w:p>
        </w:tc>
        <w:tc>
          <w:tcPr>
            <w:tcW w:w="938" w:type="dxa"/>
            <w:tcBorders>
              <w:top w:val="single" w:color="000000" w:sz="4" w:space="0"/>
              <w:left w:val="single" w:color="000000" w:sz="4" w:space="0"/>
              <w:bottom w:val="single" w:color="000000" w:sz="4" w:space="0"/>
            </w:tcBorders>
            <w:shd w:val="clear" w:color="auto" w:fill="auto"/>
            <w:vAlign w:val="center"/>
          </w:tcPr>
          <w:p w14:paraId="3FB6BAC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示值误差(%)</w:t>
            </w:r>
          </w:p>
        </w:tc>
      </w:tr>
      <w:tr w14:paraId="55EF67E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51" w:type="dxa"/>
            <w:tcBorders>
              <w:top w:val="single" w:color="000000" w:sz="4" w:space="0"/>
              <w:bottom w:val="single" w:color="000000" w:sz="4" w:space="0"/>
              <w:right w:val="single" w:color="000000" w:sz="4" w:space="0"/>
            </w:tcBorders>
            <w:shd w:val="clear" w:color="auto" w:fill="auto"/>
            <w:vAlign w:val="center"/>
          </w:tcPr>
          <w:p w14:paraId="2976F3BD">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2024.9.4</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0564">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智能颗粒物采样器</w:t>
            </w: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C3980">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XA-100K型</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2861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FJZK-SB1673</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E9E4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99.8</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E1744">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11DF3">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0.2</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A8015">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99.9</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C9B3D">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100</w:t>
            </w:r>
          </w:p>
        </w:tc>
        <w:tc>
          <w:tcPr>
            <w:tcW w:w="938" w:type="dxa"/>
            <w:tcBorders>
              <w:top w:val="single" w:color="000000" w:sz="4" w:space="0"/>
              <w:left w:val="single" w:color="000000" w:sz="4" w:space="0"/>
              <w:bottom w:val="single" w:color="000000" w:sz="4" w:space="0"/>
            </w:tcBorders>
            <w:shd w:val="clear" w:color="auto" w:fill="auto"/>
            <w:vAlign w:val="center"/>
          </w:tcPr>
          <w:p w14:paraId="29D1F08A">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0.1</w:t>
            </w:r>
          </w:p>
        </w:tc>
      </w:tr>
      <w:tr w14:paraId="5B5A99F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51" w:type="dxa"/>
            <w:tcBorders>
              <w:top w:val="single" w:color="000000" w:sz="4" w:space="0"/>
              <w:bottom w:val="single" w:color="000000" w:sz="4" w:space="0"/>
              <w:right w:val="single" w:color="000000" w:sz="4" w:space="0"/>
            </w:tcBorders>
            <w:shd w:val="clear" w:color="auto" w:fill="auto"/>
            <w:vAlign w:val="center"/>
          </w:tcPr>
          <w:p w14:paraId="13F8FA63">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2024.9.5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A0DD0">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智能颗粒物采样器</w:t>
            </w: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5FE97">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XA-100K型</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FEE2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FJZK-SB1673</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2FE71">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99.9</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3DB94">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BB72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0.1</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6FC5E">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99.8</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7896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100</w:t>
            </w:r>
          </w:p>
        </w:tc>
        <w:tc>
          <w:tcPr>
            <w:tcW w:w="938" w:type="dxa"/>
            <w:tcBorders>
              <w:top w:val="single" w:color="000000" w:sz="4" w:space="0"/>
              <w:left w:val="single" w:color="000000" w:sz="4" w:space="0"/>
              <w:bottom w:val="single" w:color="000000" w:sz="4" w:space="0"/>
            </w:tcBorders>
            <w:shd w:val="clear" w:color="auto" w:fill="auto"/>
            <w:vAlign w:val="center"/>
          </w:tcPr>
          <w:p w14:paraId="59D73B95">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0.2</w:t>
            </w:r>
          </w:p>
        </w:tc>
      </w:tr>
      <w:tr w14:paraId="05FEA69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51" w:type="dxa"/>
            <w:vMerge w:val="restart"/>
            <w:tcBorders>
              <w:top w:val="single" w:color="000000" w:sz="4" w:space="0"/>
              <w:right w:val="single" w:color="000000" w:sz="4" w:space="0"/>
            </w:tcBorders>
            <w:shd w:val="clear" w:color="auto" w:fill="auto"/>
            <w:vAlign w:val="center"/>
          </w:tcPr>
          <w:p w14:paraId="78D248A2">
            <w:pPr>
              <w:pStyle w:val="23"/>
              <w:bidi w:val="0"/>
              <w:rPr>
                <w:rFonts w:hint="default"/>
                <w:color w:val="auto"/>
                <w:lang w:val="en-US" w:eastAsia="zh-CN"/>
              </w:rPr>
            </w:pPr>
            <w:r>
              <w:rPr>
                <w:color w:val="auto"/>
                <w:lang w:val="en-US" w:eastAsia="zh-CN"/>
              </w:rPr>
              <w:t>2024.10.10</w:t>
            </w:r>
          </w:p>
        </w:tc>
        <w:tc>
          <w:tcPr>
            <w:tcW w:w="1155" w:type="dxa"/>
            <w:vMerge w:val="restart"/>
            <w:tcBorders>
              <w:top w:val="single" w:color="000000" w:sz="4" w:space="0"/>
              <w:left w:val="single" w:color="000000" w:sz="4" w:space="0"/>
              <w:right w:val="single" w:color="000000" w:sz="4" w:space="0"/>
            </w:tcBorders>
            <w:shd w:val="clear" w:color="auto" w:fill="auto"/>
            <w:vAlign w:val="center"/>
          </w:tcPr>
          <w:p w14:paraId="582C14FC">
            <w:pPr>
              <w:pStyle w:val="23"/>
              <w:bidi w:val="0"/>
              <w:rPr>
                <w:rFonts w:hint="default"/>
                <w:color w:val="auto"/>
                <w:lang w:val="en-US" w:eastAsia="zh-CN"/>
              </w:rPr>
            </w:pPr>
            <w:r>
              <w:rPr>
                <w:color w:val="auto"/>
                <w:lang w:val="en-US" w:eastAsia="zh-CN"/>
              </w:rPr>
              <w:t>智能颗粒物采样器</w:t>
            </w:r>
          </w:p>
        </w:tc>
        <w:tc>
          <w:tcPr>
            <w:tcW w:w="9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3D7906">
            <w:pPr>
              <w:pStyle w:val="23"/>
              <w:bidi w:val="0"/>
              <w:rPr>
                <w:rFonts w:hint="default"/>
                <w:color w:val="auto"/>
                <w:lang w:val="en-US" w:eastAsia="zh-CN"/>
              </w:rPr>
            </w:pPr>
            <w:r>
              <w:rPr>
                <w:color w:val="auto"/>
                <w:lang w:val="en-US" w:eastAsia="zh-CN"/>
              </w:rPr>
              <w:t>XA-100K型</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2AB50">
            <w:pPr>
              <w:pStyle w:val="23"/>
              <w:bidi w:val="0"/>
              <w:rPr>
                <w:rFonts w:hint="default"/>
                <w:color w:val="auto"/>
                <w:lang w:val="en-US" w:eastAsia="zh-CN"/>
              </w:rPr>
            </w:pPr>
            <w:r>
              <w:rPr>
                <w:color w:val="auto"/>
                <w:lang w:val="en-US" w:eastAsia="zh-CN"/>
              </w:rPr>
              <w:t>FJZK-SB</w:t>
            </w:r>
            <w:r>
              <w:rPr>
                <w:color w:val="auto"/>
                <w:lang w:val="en-US" w:eastAsia="zh-CN"/>
              </w:rPr>
              <w:br w:type="textWrapping"/>
            </w:r>
            <w:r>
              <w:rPr>
                <w:color w:val="auto"/>
                <w:lang w:val="en-US" w:eastAsia="zh-CN"/>
              </w:rPr>
              <w:t>1661</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8CB76">
            <w:pPr>
              <w:pStyle w:val="23"/>
              <w:bidi w:val="0"/>
              <w:rPr>
                <w:rFonts w:hint="default"/>
                <w:color w:val="auto"/>
                <w:lang w:val="en-US" w:eastAsia="zh-CN"/>
              </w:rPr>
            </w:pPr>
            <w:r>
              <w:rPr>
                <w:color w:val="auto"/>
                <w:lang w:val="en-US" w:eastAsia="zh-CN"/>
              </w:rPr>
              <w:t xml:space="preserve">99.9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975FE">
            <w:pPr>
              <w:pStyle w:val="23"/>
              <w:bidi w:val="0"/>
              <w:rPr>
                <w:rFonts w:hint="default"/>
                <w:color w:val="auto"/>
                <w:lang w:val="en-US" w:eastAsia="zh-CN"/>
              </w:rPr>
            </w:pPr>
            <w:r>
              <w:rPr>
                <w:color w:val="auto"/>
                <w:lang w:val="en-US" w:eastAsia="zh-CN"/>
              </w:rPr>
              <w:t xml:space="preserve">100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40B66">
            <w:pPr>
              <w:pStyle w:val="23"/>
              <w:bidi w:val="0"/>
              <w:rPr>
                <w:rFonts w:hint="default"/>
                <w:color w:val="auto"/>
                <w:lang w:val="en-US" w:eastAsia="zh-CN"/>
              </w:rPr>
            </w:pPr>
            <w:r>
              <w:rPr>
                <w:color w:val="auto"/>
                <w:lang w:val="en-US" w:eastAsia="zh-CN"/>
              </w:rPr>
              <w:t xml:space="preserve">0.1 </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60F78">
            <w:pPr>
              <w:pStyle w:val="23"/>
              <w:bidi w:val="0"/>
              <w:rPr>
                <w:rFonts w:hint="default"/>
                <w:color w:val="auto"/>
                <w:lang w:val="en-US" w:eastAsia="zh-CN"/>
              </w:rPr>
            </w:pPr>
            <w:r>
              <w:rPr>
                <w:color w:val="auto"/>
                <w:lang w:val="en-US" w:eastAsia="zh-CN"/>
              </w:rPr>
              <w:t xml:space="preserve">99.8 </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C18E9">
            <w:pPr>
              <w:pStyle w:val="23"/>
              <w:bidi w:val="0"/>
              <w:rPr>
                <w:rFonts w:hint="default"/>
                <w:color w:val="auto"/>
                <w:lang w:val="en-US" w:eastAsia="zh-CN"/>
              </w:rPr>
            </w:pPr>
            <w:r>
              <w:rPr>
                <w:color w:val="auto"/>
                <w:lang w:val="en-US" w:eastAsia="zh-CN"/>
              </w:rPr>
              <w:t xml:space="preserve">100 </w:t>
            </w:r>
          </w:p>
        </w:tc>
        <w:tc>
          <w:tcPr>
            <w:tcW w:w="938" w:type="dxa"/>
            <w:tcBorders>
              <w:top w:val="single" w:color="000000" w:sz="4" w:space="0"/>
              <w:left w:val="single" w:color="000000" w:sz="4" w:space="0"/>
              <w:bottom w:val="single" w:color="000000" w:sz="4" w:space="0"/>
            </w:tcBorders>
            <w:shd w:val="clear" w:color="auto" w:fill="auto"/>
            <w:vAlign w:val="center"/>
          </w:tcPr>
          <w:p w14:paraId="05E16E00">
            <w:pPr>
              <w:pStyle w:val="23"/>
              <w:bidi w:val="0"/>
              <w:rPr>
                <w:rFonts w:hint="default"/>
                <w:color w:val="auto"/>
                <w:lang w:val="en-US" w:eastAsia="zh-CN"/>
              </w:rPr>
            </w:pPr>
            <w:r>
              <w:rPr>
                <w:color w:val="auto"/>
                <w:lang w:val="en-US" w:eastAsia="zh-CN"/>
              </w:rPr>
              <w:t xml:space="preserve">0.2 </w:t>
            </w:r>
          </w:p>
        </w:tc>
      </w:tr>
      <w:tr w14:paraId="3523E6A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51" w:type="dxa"/>
            <w:vMerge w:val="continue"/>
            <w:tcBorders>
              <w:right w:val="single" w:color="000000" w:sz="4" w:space="0"/>
            </w:tcBorders>
            <w:shd w:val="clear" w:color="auto" w:fill="auto"/>
            <w:vAlign w:val="center"/>
          </w:tcPr>
          <w:p w14:paraId="3FE47A1B">
            <w:pPr>
              <w:pStyle w:val="23"/>
              <w:bidi w:val="0"/>
              <w:rPr>
                <w:rFonts w:hint="default"/>
                <w:color w:val="auto"/>
                <w:lang w:val="en-US" w:eastAsia="zh-CN"/>
              </w:rPr>
            </w:pPr>
          </w:p>
        </w:tc>
        <w:tc>
          <w:tcPr>
            <w:tcW w:w="1155" w:type="dxa"/>
            <w:vMerge w:val="continue"/>
            <w:tcBorders>
              <w:left w:val="single" w:color="000000" w:sz="4" w:space="0"/>
              <w:right w:val="single" w:color="000000" w:sz="4" w:space="0"/>
            </w:tcBorders>
            <w:shd w:val="clear" w:color="auto" w:fill="auto"/>
            <w:vAlign w:val="center"/>
          </w:tcPr>
          <w:p w14:paraId="0EACB6EB">
            <w:pPr>
              <w:pStyle w:val="23"/>
              <w:bidi w:val="0"/>
              <w:rPr>
                <w:rFonts w:hint="default"/>
                <w:color w:val="auto"/>
                <w:lang w:val="en-US" w:eastAsia="zh-CN"/>
              </w:rPr>
            </w:pPr>
          </w:p>
        </w:tc>
        <w:tc>
          <w:tcPr>
            <w:tcW w:w="9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C69570">
            <w:pPr>
              <w:pStyle w:val="23"/>
              <w:bidi w:val="0"/>
              <w:rPr>
                <w:rFonts w:hint="default"/>
                <w:color w:val="auto"/>
                <w:lang w:val="en-US" w:eastAsia="zh-CN"/>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93C59">
            <w:pPr>
              <w:pStyle w:val="23"/>
              <w:bidi w:val="0"/>
              <w:rPr>
                <w:rFonts w:hint="default"/>
                <w:color w:val="auto"/>
                <w:lang w:val="en-US" w:eastAsia="zh-CN"/>
              </w:rPr>
            </w:pPr>
            <w:r>
              <w:rPr>
                <w:color w:val="auto"/>
                <w:lang w:val="en-US" w:eastAsia="zh-CN"/>
              </w:rPr>
              <w:t>FJZK-SB</w:t>
            </w:r>
            <w:r>
              <w:rPr>
                <w:color w:val="auto"/>
                <w:lang w:val="en-US" w:eastAsia="zh-CN"/>
              </w:rPr>
              <w:br w:type="textWrapping"/>
            </w:r>
            <w:r>
              <w:rPr>
                <w:color w:val="auto"/>
                <w:lang w:val="en-US" w:eastAsia="zh-CN"/>
              </w:rPr>
              <w:t>1665</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1F6D6">
            <w:pPr>
              <w:pStyle w:val="23"/>
              <w:bidi w:val="0"/>
              <w:rPr>
                <w:rFonts w:hint="default"/>
                <w:color w:val="auto"/>
                <w:lang w:val="en-US" w:eastAsia="zh-CN"/>
              </w:rPr>
            </w:pPr>
            <w:r>
              <w:rPr>
                <w:color w:val="auto"/>
                <w:lang w:val="en-US" w:eastAsia="zh-CN"/>
              </w:rPr>
              <w:t xml:space="preserve">99.7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C465">
            <w:pPr>
              <w:pStyle w:val="23"/>
              <w:bidi w:val="0"/>
              <w:rPr>
                <w:rFonts w:hint="default"/>
                <w:color w:val="auto"/>
                <w:lang w:val="en-US" w:eastAsia="zh-CN"/>
              </w:rPr>
            </w:pPr>
            <w:r>
              <w:rPr>
                <w:color w:val="auto"/>
                <w:lang w:val="en-US" w:eastAsia="zh-CN"/>
              </w:rPr>
              <w:t xml:space="preserve">100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E7389">
            <w:pPr>
              <w:pStyle w:val="23"/>
              <w:bidi w:val="0"/>
              <w:rPr>
                <w:rFonts w:hint="default"/>
                <w:color w:val="auto"/>
                <w:lang w:val="en-US" w:eastAsia="zh-CN"/>
              </w:rPr>
            </w:pPr>
            <w:r>
              <w:rPr>
                <w:color w:val="auto"/>
                <w:lang w:val="en-US" w:eastAsia="zh-CN"/>
              </w:rPr>
              <w:t xml:space="preserve">0.3 </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3E974">
            <w:pPr>
              <w:pStyle w:val="23"/>
              <w:bidi w:val="0"/>
              <w:rPr>
                <w:rFonts w:hint="default"/>
                <w:color w:val="auto"/>
                <w:lang w:val="en-US" w:eastAsia="zh-CN"/>
              </w:rPr>
            </w:pPr>
            <w:r>
              <w:rPr>
                <w:color w:val="auto"/>
                <w:lang w:val="en-US" w:eastAsia="zh-CN"/>
              </w:rPr>
              <w:t xml:space="preserve">99.8 </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1168">
            <w:pPr>
              <w:pStyle w:val="23"/>
              <w:bidi w:val="0"/>
              <w:rPr>
                <w:rFonts w:hint="default"/>
                <w:color w:val="auto"/>
                <w:lang w:val="en-US" w:eastAsia="zh-CN"/>
              </w:rPr>
            </w:pPr>
            <w:r>
              <w:rPr>
                <w:color w:val="auto"/>
                <w:lang w:val="en-US" w:eastAsia="zh-CN"/>
              </w:rPr>
              <w:t xml:space="preserve">100 </w:t>
            </w:r>
          </w:p>
        </w:tc>
        <w:tc>
          <w:tcPr>
            <w:tcW w:w="938" w:type="dxa"/>
            <w:tcBorders>
              <w:top w:val="single" w:color="000000" w:sz="4" w:space="0"/>
              <w:left w:val="single" w:color="000000" w:sz="4" w:space="0"/>
              <w:bottom w:val="single" w:color="000000" w:sz="4" w:space="0"/>
            </w:tcBorders>
            <w:shd w:val="clear" w:color="auto" w:fill="auto"/>
            <w:vAlign w:val="center"/>
          </w:tcPr>
          <w:p w14:paraId="05CFB384">
            <w:pPr>
              <w:pStyle w:val="23"/>
              <w:bidi w:val="0"/>
              <w:rPr>
                <w:rFonts w:hint="default"/>
                <w:color w:val="auto"/>
                <w:lang w:val="en-US" w:eastAsia="zh-CN"/>
              </w:rPr>
            </w:pPr>
            <w:r>
              <w:rPr>
                <w:color w:val="auto"/>
                <w:lang w:val="en-US" w:eastAsia="zh-CN"/>
              </w:rPr>
              <w:t xml:space="preserve">0.2 </w:t>
            </w:r>
          </w:p>
        </w:tc>
      </w:tr>
      <w:tr w14:paraId="2275345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51" w:type="dxa"/>
            <w:vMerge w:val="continue"/>
            <w:tcBorders>
              <w:right w:val="single" w:color="000000" w:sz="4" w:space="0"/>
            </w:tcBorders>
            <w:shd w:val="clear" w:color="auto" w:fill="auto"/>
            <w:vAlign w:val="center"/>
          </w:tcPr>
          <w:p w14:paraId="071546FE">
            <w:pPr>
              <w:pStyle w:val="23"/>
              <w:bidi w:val="0"/>
              <w:rPr>
                <w:rFonts w:hint="default"/>
                <w:color w:val="auto"/>
                <w:lang w:val="en-US" w:eastAsia="zh-CN"/>
              </w:rPr>
            </w:pPr>
          </w:p>
        </w:tc>
        <w:tc>
          <w:tcPr>
            <w:tcW w:w="1155" w:type="dxa"/>
            <w:vMerge w:val="continue"/>
            <w:tcBorders>
              <w:left w:val="single" w:color="000000" w:sz="4" w:space="0"/>
              <w:right w:val="single" w:color="000000" w:sz="4" w:space="0"/>
            </w:tcBorders>
            <w:shd w:val="clear" w:color="auto" w:fill="auto"/>
            <w:vAlign w:val="center"/>
          </w:tcPr>
          <w:p w14:paraId="49DCD654">
            <w:pPr>
              <w:pStyle w:val="23"/>
              <w:bidi w:val="0"/>
              <w:rPr>
                <w:rFonts w:hint="default"/>
                <w:color w:val="auto"/>
                <w:lang w:val="en-US" w:eastAsia="zh-CN"/>
              </w:rPr>
            </w:pPr>
          </w:p>
        </w:tc>
        <w:tc>
          <w:tcPr>
            <w:tcW w:w="9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F1910D">
            <w:pPr>
              <w:pStyle w:val="23"/>
              <w:bidi w:val="0"/>
              <w:rPr>
                <w:rFonts w:hint="default"/>
                <w:color w:val="auto"/>
                <w:lang w:val="en-US" w:eastAsia="zh-CN"/>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5B23">
            <w:pPr>
              <w:pStyle w:val="23"/>
              <w:bidi w:val="0"/>
              <w:rPr>
                <w:rFonts w:hint="default"/>
                <w:color w:val="auto"/>
                <w:lang w:val="en-US" w:eastAsia="zh-CN"/>
              </w:rPr>
            </w:pPr>
            <w:r>
              <w:rPr>
                <w:color w:val="auto"/>
                <w:lang w:val="en-US" w:eastAsia="zh-CN"/>
              </w:rPr>
              <w:t>FJZK-SB</w:t>
            </w:r>
            <w:r>
              <w:rPr>
                <w:color w:val="auto"/>
                <w:lang w:val="en-US" w:eastAsia="zh-CN"/>
              </w:rPr>
              <w:br w:type="textWrapping"/>
            </w:r>
            <w:r>
              <w:rPr>
                <w:color w:val="auto"/>
                <w:lang w:val="en-US" w:eastAsia="zh-CN"/>
              </w:rPr>
              <w:t>1666</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9AF1E">
            <w:pPr>
              <w:pStyle w:val="23"/>
              <w:bidi w:val="0"/>
              <w:rPr>
                <w:rFonts w:hint="default"/>
                <w:color w:val="auto"/>
                <w:lang w:val="en-US" w:eastAsia="zh-CN"/>
              </w:rPr>
            </w:pPr>
            <w:r>
              <w:rPr>
                <w:color w:val="auto"/>
                <w:lang w:val="en-US" w:eastAsia="zh-CN"/>
              </w:rPr>
              <w:t xml:space="preserve">99.8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35517">
            <w:pPr>
              <w:pStyle w:val="23"/>
              <w:bidi w:val="0"/>
              <w:rPr>
                <w:rFonts w:hint="default"/>
                <w:color w:val="auto"/>
                <w:lang w:val="en-US" w:eastAsia="zh-CN"/>
              </w:rPr>
            </w:pPr>
            <w:r>
              <w:rPr>
                <w:color w:val="auto"/>
                <w:lang w:val="en-US" w:eastAsia="zh-CN"/>
              </w:rPr>
              <w:t xml:space="preserve">100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4CF55">
            <w:pPr>
              <w:pStyle w:val="23"/>
              <w:bidi w:val="0"/>
              <w:rPr>
                <w:rFonts w:hint="default"/>
                <w:color w:val="auto"/>
                <w:lang w:val="en-US" w:eastAsia="zh-CN"/>
              </w:rPr>
            </w:pPr>
            <w:r>
              <w:rPr>
                <w:color w:val="auto"/>
                <w:lang w:val="en-US" w:eastAsia="zh-CN"/>
              </w:rPr>
              <w:t xml:space="preserve">0.2 </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6AE9B">
            <w:pPr>
              <w:pStyle w:val="23"/>
              <w:bidi w:val="0"/>
              <w:rPr>
                <w:rFonts w:hint="default"/>
                <w:color w:val="auto"/>
                <w:lang w:val="en-US" w:eastAsia="zh-CN"/>
              </w:rPr>
            </w:pPr>
            <w:r>
              <w:rPr>
                <w:color w:val="auto"/>
                <w:lang w:val="en-US" w:eastAsia="zh-CN"/>
              </w:rPr>
              <w:t xml:space="preserve">99.9 </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711D">
            <w:pPr>
              <w:pStyle w:val="23"/>
              <w:bidi w:val="0"/>
              <w:rPr>
                <w:rFonts w:hint="default"/>
                <w:color w:val="auto"/>
                <w:lang w:val="en-US" w:eastAsia="zh-CN"/>
              </w:rPr>
            </w:pPr>
            <w:r>
              <w:rPr>
                <w:color w:val="auto"/>
                <w:lang w:val="en-US" w:eastAsia="zh-CN"/>
              </w:rPr>
              <w:t xml:space="preserve">100 </w:t>
            </w:r>
          </w:p>
        </w:tc>
        <w:tc>
          <w:tcPr>
            <w:tcW w:w="938" w:type="dxa"/>
            <w:tcBorders>
              <w:top w:val="single" w:color="000000" w:sz="4" w:space="0"/>
              <w:left w:val="single" w:color="000000" w:sz="4" w:space="0"/>
              <w:bottom w:val="single" w:color="000000" w:sz="4" w:space="0"/>
            </w:tcBorders>
            <w:shd w:val="clear" w:color="auto" w:fill="auto"/>
            <w:vAlign w:val="center"/>
          </w:tcPr>
          <w:p w14:paraId="60C7BFA9">
            <w:pPr>
              <w:pStyle w:val="23"/>
              <w:bidi w:val="0"/>
              <w:rPr>
                <w:rFonts w:hint="default"/>
                <w:color w:val="auto"/>
                <w:lang w:val="en-US" w:eastAsia="zh-CN"/>
              </w:rPr>
            </w:pPr>
            <w:r>
              <w:rPr>
                <w:color w:val="auto"/>
                <w:lang w:val="en-US" w:eastAsia="zh-CN"/>
              </w:rPr>
              <w:t xml:space="preserve">0.1 </w:t>
            </w:r>
          </w:p>
        </w:tc>
      </w:tr>
      <w:tr w14:paraId="512E8A4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51" w:type="dxa"/>
            <w:vMerge w:val="continue"/>
            <w:tcBorders>
              <w:bottom w:val="single" w:color="000000" w:sz="4" w:space="0"/>
              <w:right w:val="single" w:color="000000" w:sz="4" w:space="0"/>
            </w:tcBorders>
            <w:shd w:val="clear" w:color="auto" w:fill="auto"/>
            <w:vAlign w:val="center"/>
          </w:tcPr>
          <w:p w14:paraId="629EFD63">
            <w:pPr>
              <w:pStyle w:val="23"/>
              <w:bidi w:val="0"/>
              <w:rPr>
                <w:rFonts w:hint="default"/>
                <w:color w:val="auto"/>
                <w:lang w:val="en-US" w:eastAsia="zh-CN"/>
              </w:rPr>
            </w:pPr>
          </w:p>
        </w:tc>
        <w:tc>
          <w:tcPr>
            <w:tcW w:w="1155" w:type="dxa"/>
            <w:vMerge w:val="continue"/>
            <w:tcBorders>
              <w:left w:val="single" w:color="000000" w:sz="4" w:space="0"/>
              <w:bottom w:val="single" w:color="000000" w:sz="4" w:space="0"/>
              <w:right w:val="single" w:color="000000" w:sz="4" w:space="0"/>
            </w:tcBorders>
            <w:shd w:val="clear" w:color="auto" w:fill="auto"/>
            <w:vAlign w:val="center"/>
          </w:tcPr>
          <w:p w14:paraId="2ACFFAAE">
            <w:pPr>
              <w:pStyle w:val="23"/>
              <w:bidi w:val="0"/>
              <w:rPr>
                <w:rFonts w:hint="default"/>
                <w:color w:val="auto"/>
                <w:lang w:val="en-US" w:eastAsia="zh-CN"/>
              </w:rPr>
            </w:pPr>
          </w:p>
        </w:tc>
        <w:tc>
          <w:tcPr>
            <w:tcW w:w="9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C63CE">
            <w:pPr>
              <w:pStyle w:val="23"/>
              <w:bidi w:val="0"/>
              <w:rPr>
                <w:rFonts w:hint="default"/>
                <w:color w:val="auto"/>
                <w:lang w:val="en-US" w:eastAsia="zh-CN"/>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72C1">
            <w:pPr>
              <w:pStyle w:val="23"/>
              <w:bidi w:val="0"/>
              <w:rPr>
                <w:rFonts w:hint="default"/>
                <w:color w:val="auto"/>
                <w:lang w:val="en-US" w:eastAsia="zh-CN"/>
              </w:rPr>
            </w:pPr>
            <w:r>
              <w:rPr>
                <w:color w:val="auto"/>
                <w:lang w:val="en-US" w:eastAsia="zh-CN"/>
              </w:rPr>
              <w:t>FJZK-SB</w:t>
            </w:r>
            <w:r>
              <w:rPr>
                <w:color w:val="auto"/>
                <w:lang w:val="en-US" w:eastAsia="zh-CN"/>
              </w:rPr>
              <w:br w:type="textWrapping"/>
            </w:r>
            <w:r>
              <w:rPr>
                <w:color w:val="auto"/>
                <w:lang w:val="en-US" w:eastAsia="zh-CN"/>
              </w:rPr>
              <w:t>1671</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F14BE">
            <w:pPr>
              <w:pStyle w:val="23"/>
              <w:bidi w:val="0"/>
              <w:rPr>
                <w:rFonts w:hint="default"/>
                <w:color w:val="auto"/>
                <w:lang w:val="en-US" w:eastAsia="zh-CN"/>
              </w:rPr>
            </w:pPr>
            <w:r>
              <w:rPr>
                <w:color w:val="auto"/>
                <w:lang w:val="en-US" w:eastAsia="zh-CN"/>
              </w:rPr>
              <w:t xml:space="preserve">99.9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4ABEB">
            <w:pPr>
              <w:pStyle w:val="23"/>
              <w:bidi w:val="0"/>
              <w:rPr>
                <w:rFonts w:hint="default"/>
                <w:color w:val="auto"/>
                <w:lang w:val="en-US" w:eastAsia="zh-CN"/>
              </w:rPr>
            </w:pPr>
            <w:r>
              <w:rPr>
                <w:color w:val="auto"/>
                <w:lang w:val="en-US" w:eastAsia="zh-CN"/>
              </w:rPr>
              <w:t xml:space="preserve">100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68BC6">
            <w:pPr>
              <w:pStyle w:val="23"/>
              <w:bidi w:val="0"/>
              <w:rPr>
                <w:rFonts w:hint="default"/>
                <w:color w:val="auto"/>
                <w:lang w:val="en-US" w:eastAsia="zh-CN"/>
              </w:rPr>
            </w:pPr>
            <w:r>
              <w:rPr>
                <w:color w:val="auto"/>
                <w:lang w:val="en-US" w:eastAsia="zh-CN"/>
              </w:rPr>
              <w:t xml:space="preserve">0 </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E4408">
            <w:pPr>
              <w:pStyle w:val="23"/>
              <w:bidi w:val="0"/>
              <w:rPr>
                <w:rFonts w:hint="default"/>
                <w:color w:val="auto"/>
                <w:lang w:val="en-US" w:eastAsia="zh-CN"/>
              </w:rPr>
            </w:pPr>
            <w:r>
              <w:rPr>
                <w:color w:val="auto"/>
                <w:lang w:val="en-US" w:eastAsia="zh-CN"/>
              </w:rPr>
              <w:t xml:space="preserve">100 </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5B1D">
            <w:pPr>
              <w:pStyle w:val="23"/>
              <w:bidi w:val="0"/>
              <w:rPr>
                <w:rFonts w:hint="default"/>
                <w:color w:val="auto"/>
                <w:lang w:val="en-US" w:eastAsia="zh-CN"/>
              </w:rPr>
            </w:pPr>
            <w:r>
              <w:rPr>
                <w:color w:val="auto"/>
                <w:lang w:val="en-US" w:eastAsia="zh-CN"/>
              </w:rPr>
              <w:t xml:space="preserve">100 </w:t>
            </w:r>
          </w:p>
        </w:tc>
        <w:tc>
          <w:tcPr>
            <w:tcW w:w="938" w:type="dxa"/>
            <w:tcBorders>
              <w:top w:val="single" w:color="000000" w:sz="4" w:space="0"/>
              <w:left w:val="single" w:color="000000" w:sz="4" w:space="0"/>
              <w:bottom w:val="single" w:color="000000" w:sz="4" w:space="0"/>
            </w:tcBorders>
            <w:shd w:val="clear" w:color="auto" w:fill="auto"/>
            <w:vAlign w:val="center"/>
          </w:tcPr>
          <w:p w14:paraId="1C9B8B4C">
            <w:pPr>
              <w:pStyle w:val="23"/>
              <w:bidi w:val="0"/>
              <w:rPr>
                <w:rFonts w:hint="default"/>
                <w:color w:val="auto"/>
                <w:lang w:val="en-US" w:eastAsia="zh-CN"/>
              </w:rPr>
            </w:pPr>
            <w:r>
              <w:rPr>
                <w:color w:val="auto"/>
                <w:lang w:val="en-US" w:eastAsia="zh-CN"/>
              </w:rPr>
              <w:t xml:space="preserve">0 </w:t>
            </w:r>
          </w:p>
        </w:tc>
      </w:tr>
      <w:tr w14:paraId="1C050EB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51" w:type="dxa"/>
            <w:vMerge w:val="restart"/>
            <w:tcBorders>
              <w:top w:val="single" w:color="000000" w:sz="4" w:space="0"/>
              <w:right w:val="single" w:color="000000" w:sz="4" w:space="0"/>
            </w:tcBorders>
            <w:shd w:val="clear" w:color="auto" w:fill="auto"/>
            <w:vAlign w:val="center"/>
          </w:tcPr>
          <w:p w14:paraId="3E9FBDC7">
            <w:pPr>
              <w:pStyle w:val="23"/>
              <w:bidi w:val="0"/>
              <w:rPr>
                <w:rFonts w:hint="default"/>
                <w:color w:val="auto"/>
                <w:lang w:val="en-US" w:eastAsia="zh-CN"/>
              </w:rPr>
            </w:pPr>
            <w:r>
              <w:rPr>
                <w:color w:val="auto"/>
                <w:lang w:val="en-US" w:eastAsia="zh-CN"/>
              </w:rPr>
              <w:t>2024.10.11</w:t>
            </w:r>
          </w:p>
        </w:tc>
        <w:tc>
          <w:tcPr>
            <w:tcW w:w="1155" w:type="dxa"/>
            <w:vMerge w:val="restart"/>
            <w:tcBorders>
              <w:top w:val="single" w:color="000000" w:sz="4" w:space="0"/>
              <w:left w:val="single" w:color="000000" w:sz="4" w:space="0"/>
              <w:right w:val="single" w:color="000000" w:sz="4" w:space="0"/>
            </w:tcBorders>
            <w:shd w:val="clear" w:color="auto" w:fill="auto"/>
            <w:vAlign w:val="center"/>
          </w:tcPr>
          <w:p w14:paraId="66B74EAB">
            <w:pPr>
              <w:pStyle w:val="23"/>
              <w:bidi w:val="0"/>
              <w:rPr>
                <w:rFonts w:hint="default"/>
                <w:color w:val="auto"/>
                <w:lang w:val="en-US" w:eastAsia="zh-CN"/>
              </w:rPr>
            </w:pPr>
            <w:r>
              <w:rPr>
                <w:color w:val="auto"/>
                <w:lang w:val="en-US" w:eastAsia="zh-CN"/>
              </w:rPr>
              <w:t>智能颗粒物采样器</w:t>
            </w:r>
          </w:p>
        </w:tc>
        <w:tc>
          <w:tcPr>
            <w:tcW w:w="9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D05857">
            <w:pPr>
              <w:pStyle w:val="23"/>
              <w:bidi w:val="0"/>
              <w:rPr>
                <w:rFonts w:hint="default"/>
                <w:color w:val="auto"/>
                <w:lang w:val="en-US" w:eastAsia="zh-CN"/>
              </w:rPr>
            </w:pPr>
            <w:r>
              <w:rPr>
                <w:color w:val="auto"/>
                <w:lang w:val="en-US" w:eastAsia="zh-CN"/>
              </w:rPr>
              <w:t>XA-100K型</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A8D0A">
            <w:pPr>
              <w:pStyle w:val="23"/>
              <w:bidi w:val="0"/>
              <w:rPr>
                <w:rFonts w:hint="default"/>
                <w:color w:val="auto"/>
                <w:lang w:val="en-US" w:eastAsia="zh-CN"/>
              </w:rPr>
            </w:pPr>
            <w:r>
              <w:rPr>
                <w:color w:val="auto"/>
                <w:lang w:val="en-US" w:eastAsia="zh-CN"/>
              </w:rPr>
              <w:t>FJZK-SB</w:t>
            </w:r>
            <w:r>
              <w:rPr>
                <w:color w:val="auto"/>
                <w:lang w:val="en-US" w:eastAsia="zh-CN"/>
              </w:rPr>
              <w:br w:type="textWrapping"/>
            </w:r>
            <w:r>
              <w:rPr>
                <w:color w:val="auto"/>
                <w:lang w:val="en-US" w:eastAsia="zh-CN"/>
              </w:rPr>
              <w:t>1661</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BA2AA">
            <w:pPr>
              <w:pStyle w:val="23"/>
              <w:bidi w:val="0"/>
              <w:rPr>
                <w:rFonts w:hint="default"/>
                <w:color w:val="auto"/>
                <w:lang w:val="en-US" w:eastAsia="zh-CN"/>
              </w:rPr>
            </w:pPr>
            <w:r>
              <w:rPr>
                <w:color w:val="auto"/>
                <w:lang w:val="en-US" w:eastAsia="zh-CN"/>
              </w:rPr>
              <w:t xml:space="preserve">100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3B485">
            <w:pPr>
              <w:pStyle w:val="23"/>
              <w:bidi w:val="0"/>
              <w:rPr>
                <w:rFonts w:hint="default"/>
                <w:color w:val="auto"/>
                <w:lang w:val="en-US" w:eastAsia="zh-CN"/>
              </w:rPr>
            </w:pPr>
            <w:r>
              <w:rPr>
                <w:color w:val="auto"/>
                <w:lang w:val="en-US" w:eastAsia="zh-CN"/>
              </w:rPr>
              <w:t xml:space="preserve">100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C4944">
            <w:pPr>
              <w:pStyle w:val="23"/>
              <w:bidi w:val="0"/>
              <w:rPr>
                <w:rFonts w:hint="default"/>
                <w:color w:val="auto"/>
                <w:lang w:val="en-US" w:eastAsia="zh-CN"/>
              </w:rPr>
            </w:pPr>
            <w:r>
              <w:rPr>
                <w:color w:val="auto"/>
                <w:lang w:val="en-US" w:eastAsia="zh-CN"/>
              </w:rPr>
              <w:t xml:space="preserve">0 </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5DE9">
            <w:pPr>
              <w:pStyle w:val="23"/>
              <w:bidi w:val="0"/>
              <w:rPr>
                <w:rFonts w:hint="default"/>
                <w:color w:val="auto"/>
                <w:lang w:val="en-US" w:eastAsia="zh-CN"/>
              </w:rPr>
            </w:pPr>
            <w:r>
              <w:rPr>
                <w:color w:val="auto"/>
                <w:lang w:val="en-US" w:eastAsia="zh-CN"/>
              </w:rPr>
              <w:t xml:space="preserve">100 </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EF720">
            <w:pPr>
              <w:pStyle w:val="23"/>
              <w:bidi w:val="0"/>
              <w:rPr>
                <w:rFonts w:hint="default"/>
                <w:color w:val="auto"/>
                <w:lang w:val="en-US" w:eastAsia="zh-CN"/>
              </w:rPr>
            </w:pPr>
            <w:r>
              <w:rPr>
                <w:color w:val="auto"/>
                <w:lang w:val="en-US" w:eastAsia="zh-CN"/>
              </w:rPr>
              <w:t xml:space="preserve">100 </w:t>
            </w:r>
          </w:p>
        </w:tc>
        <w:tc>
          <w:tcPr>
            <w:tcW w:w="938" w:type="dxa"/>
            <w:tcBorders>
              <w:top w:val="single" w:color="000000" w:sz="4" w:space="0"/>
              <w:left w:val="single" w:color="000000" w:sz="4" w:space="0"/>
              <w:bottom w:val="single" w:color="000000" w:sz="4" w:space="0"/>
            </w:tcBorders>
            <w:shd w:val="clear" w:color="auto" w:fill="auto"/>
            <w:vAlign w:val="center"/>
          </w:tcPr>
          <w:p w14:paraId="1D3FCE49">
            <w:pPr>
              <w:pStyle w:val="23"/>
              <w:bidi w:val="0"/>
              <w:rPr>
                <w:rFonts w:hint="default"/>
                <w:color w:val="auto"/>
                <w:lang w:val="en-US" w:eastAsia="zh-CN"/>
              </w:rPr>
            </w:pPr>
            <w:r>
              <w:rPr>
                <w:color w:val="auto"/>
                <w:lang w:val="en-US" w:eastAsia="zh-CN"/>
              </w:rPr>
              <w:t xml:space="preserve">0 </w:t>
            </w:r>
          </w:p>
        </w:tc>
      </w:tr>
      <w:tr w14:paraId="47CEA14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51" w:type="dxa"/>
            <w:vMerge w:val="continue"/>
            <w:tcBorders>
              <w:right w:val="single" w:color="000000" w:sz="4" w:space="0"/>
            </w:tcBorders>
            <w:shd w:val="clear" w:color="auto" w:fill="auto"/>
            <w:vAlign w:val="center"/>
          </w:tcPr>
          <w:p w14:paraId="2E09992F">
            <w:pPr>
              <w:pStyle w:val="23"/>
              <w:bidi w:val="0"/>
              <w:rPr>
                <w:rFonts w:hint="default"/>
                <w:color w:val="auto"/>
                <w:lang w:val="en-US" w:eastAsia="zh-CN"/>
              </w:rPr>
            </w:pPr>
          </w:p>
        </w:tc>
        <w:tc>
          <w:tcPr>
            <w:tcW w:w="1155" w:type="dxa"/>
            <w:vMerge w:val="continue"/>
            <w:tcBorders>
              <w:left w:val="single" w:color="000000" w:sz="4" w:space="0"/>
              <w:right w:val="single" w:color="000000" w:sz="4" w:space="0"/>
            </w:tcBorders>
            <w:shd w:val="clear" w:color="auto" w:fill="auto"/>
            <w:vAlign w:val="center"/>
          </w:tcPr>
          <w:p w14:paraId="73B6C876">
            <w:pPr>
              <w:pStyle w:val="23"/>
              <w:bidi w:val="0"/>
              <w:rPr>
                <w:rFonts w:hint="default"/>
                <w:color w:val="auto"/>
                <w:lang w:val="en-US" w:eastAsia="zh-CN"/>
              </w:rPr>
            </w:pPr>
          </w:p>
        </w:tc>
        <w:tc>
          <w:tcPr>
            <w:tcW w:w="9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272838">
            <w:pPr>
              <w:pStyle w:val="23"/>
              <w:bidi w:val="0"/>
              <w:rPr>
                <w:rFonts w:hint="default"/>
                <w:color w:val="auto"/>
                <w:lang w:val="en-US" w:eastAsia="zh-CN"/>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B47E3">
            <w:pPr>
              <w:pStyle w:val="23"/>
              <w:bidi w:val="0"/>
              <w:rPr>
                <w:rFonts w:hint="default"/>
                <w:color w:val="auto"/>
                <w:lang w:val="en-US" w:eastAsia="zh-CN"/>
              </w:rPr>
            </w:pPr>
            <w:r>
              <w:rPr>
                <w:color w:val="auto"/>
                <w:lang w:val="en-US" w:eastAsia="zh-CN"/>
              </w:rPr>
              <w:t>FJZK-SB</w:t>
            </w:r>
            <w:r>
              <w:rPr>
                <w:color w:val="auto"/>
                <w:lang w:val="en-US" w:eastAsia="zh-CN"/>
              </w:rPr>
              <w:br w:type="textWrapping"/>
            </w:r>
            <w:r>
              <w:rPr>
                <w:color w:val="auto"/>
                <w:lang w:val="en-US" w:eastAsia="zh-CN"/>
              </w:rPr>
              <w:t>1673</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9B40B">
            <w:pPr>
              <w:pStyle w:val="23"/>
              <w:bidi w:val="0"/>
              <w:rPr>
                <w:rFonts w:hint="default"/>
                <w:color w:val="auto"/>
                <w:lang w:val="en-US" w:eastAsia="zh-CN"/>
              </w:rPr>
            </w:pPr>
            <w:r>
              <w:rPr>
                <w:color w:val="auto"/>
                <w:lang w:val="en-US" w:eastAsia="zh-CN"/>
              </w:rPr>
              <w:t xml:space="preserve">99.8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3BDA4">
            <w:pPr>
              <w:pStyle w:val="23"/>
              <w:bidi w:val="0"/>
              <w:rPr>
                <w:rFonts w:hint="default"/>
                <w:color w:val="auto"/>
                <w:lang w:val="en-US" w:eastAsia="zh-CN"/>
              </w:rPr>
            </w:pPr>
            <w:r>
              <w:rPr>
                <w:color w:val="auto"/>
                <w:lang w:val="en-US" w:eastAsia="zh-CN"/>
              </w:rPr>
              <w:t xml:space="preserve">100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1F654">
            <w:pPr>
              <w:pStyle w:val="23"/>
              <w:bidi w:val="0"/>
              <w:rPr>
                <w:rFonts w:hint="default"/>
                <w:color w:val="auto"/>
                <w:lang w:val="en-US" w:eastAsia="zh-CN"/>
              </w:rPr>
            </w:pPr>
            <w:r>
              <w:rPr>
                <w:color w:val="auto"/>
                <w:lang w:val="en-US" w:eastAsia="zh-CN"/>
              </w:rPr>
              <w:t xml:space="preserve">0.2 </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A19D">
            <w:pPr>
              <w:pStyle w:val="23"/>
              <w:bidi w:val="0"/>
              <w:rPr>
                <w:rFonts w:hint="default"/>
                <w:color w:val="auto"/>
                <w:lang w:val="en-US" w:eastAsia="zh-CN"/>
              </w:rPr>
            </w:pPr>
            <w:r>
              <w:rPr>
                <w:color w:val="auto"/>
                <w:lang w:val="en-US" w:eastAsia="zh-CN"/>
              </w:rPr>
              <w:t xml:space="preserve">99.9 </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9D6E8">
            <w:pPr>
              <w:pStyle w:val="23"/>
              <w:bidi w:val="0"/>
              <w:rPr>
                <w:rFonts w:hint="default"/>
                <w:color w:val="auto"/>
                <w:lang w:val="en-US" w:eastAsia="zh-CN"/>
              </w:rPr>
            </w:pPr>
            <w:r>
              <w:rPr>
                <w:color w:val="auto"/>
                <w:lang w:val="en-US" w:eastAsia="zh-CN"/>
              </w:rPr>
              <w:t xml:space="preserve">100 </w:t>
            </w:r>
          </w:p>
        </w:tc>
        <w:tc>
          <w:tcPr>
            <w:tcW w:w="938" w:type="dxa"/>
            <w:tcBorders>
              <w:top w:val="single" w:color="000000" w:sz="4" w:space="0"/>
              <w:left w:val="single" w:color="000000" w:sz="4" w:space="0"/>
              <w:bottom w:val="single" w:color="000000" w:sz="4" w:space="0"/>
            </w:tcBorders>
            <w:shd w:val="clear" w:color="auto" w:fill="auto"/>
            <w:vAlign w:val="center"/>
          </w:tcPr>
          <w:p w14:paraId="6E1B638A">
            <w:pPr>
              <w:pStyle w:val="23"/>
              <w:bidi w:val="0"/>
              <w:rPr>
                <w:rFonts w:hint="default"/>
                <w:color w:val="auto"/>
                <w:lang w:val="en-US" w:eastAsia="zh-CN"/>
              </w:rPr>
            </w:pPr>
            <w:r>
              <w:rPr>
                <w:color w:val="auto"/>
                <w:lang w:val="en-US" w:eastAsia="zh-CN"/>
              </w:rPr>
              <w:t xml:space="preserve">0.1 </w:t>
            </w:r>
          </w:p>
        </w:tc>
      </w:tr>
      <w:tr w14:paraId="2631EFF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51" w:type="dxa"/>
            <w:vMerge w:val="continue"/>
            <w:tcBorders>
              <w:right w:val="single" w:color="000000" w:sz="4" w:space="0"/>
            </w:tcBorders>
            <w:shd w:val="clear" w:color="auto" w:fill="auto"/>
            <w:vAlign w:val="center"/>
          </w:tcPr>
          <w:p w14:paraId="1E21B6E4">
            <w:pPr>
              <w:pStyle w:val="23"/>
              <w:bidi w:val="0"/>
              <w:rPr>
                <w:rFonts w:hint="default"/>
                <w:color w:val="auto"/>
                <w:lang w:val="en-US" w:eastAsia="zh-CN"/>
              </w:rPr>
            </w:pPr>
          </w:p>
        </w:tc>
        <w:tc>
          <w:tcPr>
            <w:tcW w:w="1155" w:type="dxa"/>
            <w:vMerge w:val="continue"/>
            <w:tcBorders>
              <w:left w:val="single" w:color="000000" w:sz="4" w:space="0"/>
              <w:right w:val="single" w:color="000000" w:sz="4" w:space="0"/>
            </w:tcBorders>
            <w:shd w:val="clear" w:color="auto" w:fill="auto"/>
            <w:vAlign w:val="center"/>
          </w:tcPr>
          <w:p w14:paraId="28711BA2">
            <w:pPr>
              <w:pStyle w:val="23"/>
              <w:bidi w:val="0"/>
              <w:rPr>
                <w:rFonts w:hint="default"/>
                <w:color w:val="auto"/>
                <w:lang w:val="en-US" w:eastAsia="zh-CN"/>
              </w:rPr>
            </w:pPr>
          </w:p>
        </w:tc>
        <w:tc>
          <w:tcPr>
            <w:tcW w:w="9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30EB57">
            <w:pPr>
              <w:pStyle w:val="23"/>
              <w:bidi w:val="0"/>
              <w:rPr>
                <w:rFonts w:hint="default"/>
                <w:color w:val="auto"/>
                <w:lang w:val="en-US" w:eastAsia="zh-CN"/>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A519E">
            <w:pPr>
              <w:pStyle w:val="23"/>
              <w:bidi w:val="0"/>
              <w:rPr>
                <w:rFonts w:hint="default"/>
                <w:color w:val="auto"/>
                <w:lang w:val="en-US" w:eastAsia="zh-CN"/>
              </w:rPr>
            </w:pPr>
            <w:r>
              <w:rPr>
                <w:color w:val="auto"/>
                <w:lang w:val="en-US" w:eastAsia="zh-CN"/>
              </w:rPr>
              <w:t>FJZK-SB</w:t>
            </w:r>
            <w:r>
              <w:rPr>
                <w:color w:val="auto"/>
                <w:lang w:val="en-US" w:eastAsia="zh-CN"/>
              </w:rPr>
              <w:br w:type="textWrapping"/>
            </w:r>
            <w:r>
              <w:rPr>
                <w:color w:val="auto"/>
                <w:lang w:val="en-US" w:eastAsia="zh-CN"/>
              </w:rPr>
              <w:t>1666</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9D8FD">
            <w:pPr>
              <w:pStyle w:val="23"/>
              <w:bidi w:val="0"/>
              <w:rPr>
                <w:rFonts w:hint="default"/>
                <w:color w:val="auto"/>
                <w:lang w:val="en-US" w:eastAsia="zh-CN"/>
              </w:rPr>
            </w:pPr>
            <w:r>
              <w:rPr>
                <w:color w:val="auto"/>
                <w:lang w:val="en-US" w:eastAsia="zh-CN"/>
              </w:rPr>
              <w:t xml:space="preserve">99.9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7CD4">
            <w:pPr>
              <w:pStyle w:val="23"/>
              <w:bidi w:val="0"/>
              <w:rPr>
                <w:rFonts w:hint="default"/>
                <w:color w:val="auto"/>
                <w:lang w:val="en-US" w:eastAsia="zh-CN"/>
              </w:rPr>
            </w:pPr>
            <w:r>
              <w:rPr>
                <w:color w:val="auto"/>
                <w:lang w:val="en-US" w:eastAsia="zh-CN"/>
              </w:rPr>
              <w:t xml:space="preserve">100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5859">
            <w:pPr>
              <w:pStyle w:val="23"/>
              <w:bidi w:val="0"/>
              <w:rPr>
                <w:rFonts w:hint="default"/>
                <w:color w:val="auto"/>
                <w:lang w:val="en-US" w:eastAsia="zh-CN"/>
              </w:rPr>
            </w:pPr>
            <w:r>
              <w:rPr>
                <w:color w:val="auto"/>
                <w:lang w:val="en-US" w:eastAsia="zh-CN"/>
              </w:rPr>
              <w:t xml:space="preserve">0.1 </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B1973">
            <w:pPr>
              <w:pStyle w:val="23"/>
              <w:bidi w:val="0"/>
              <w:rPr>
                <w:rFonts w:hint="default"/>
                <w:color w:val="auto"/>
                <w:lang w:val="en-US" w:eastAsia="zh-CN"/>
              </w:rPr>
            </w:pPr>
            <w:r>
              <w:rPr>
                <w:color w:val="auto"/>
                <w:lang w:val="en-US" w:eastAsia="zh-CN"/>
              </w:rPr>
              <w:t xml:space="preserve">99.9 </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290B7">
            <w:pPr>
              <w:pStyle w:val="23"/>
              <w:bidi w:val="0"/>
              <w:rPr>
                <w:rFonts w:hint="default"/>
                <w:color w:val="auto"/>
                <w:lang w:val="en-US" w:eastAsia="zh-CN"/>
              </w:rPr>
            </w:pPr>
            <w:r>
              <w:rPr>
                <w:color w:val="auto"/>
                <w:lang w:val="en-US" w:eastAsia="zh-CN"/>
              </w:rPr>
              <w:t xml:space="preserve">100 </w:t>
            </w:r>
          </w:p>
        </w:tc>
        <w:tc>
          <w:tcPr>
            <w:tcW w:w="938" w:type="dxa"/>
            <w:tcBorders>
              <w:top w:val="single" w:color="000000" w:sz="4" w:space="0"/>
              <w:left w:val="single" w:color="000000" w:sz="4" w:space="0"/>
              <w:bottom w:val="single" w:color="000000" w:sz="4" w:space="0"/>
            </w:tcBorders>
            <w:shd w:val="clear" w:color="auto" w:fill="auto"/>
            <w:vAlign w:val="center"/>
          </w:tcPr>
          <w:p w14:paraId="639B6042">
            <w:pPr>
              <w:pStyle w:val="23"/>
              <w:bidi w:val="0"/>
              <w:rPr>
                <w:rFonts w:hint="default"/>
                <w:color w:val="auto"/>
                <w:lang w:val="en-US" w:eastAsia="zh-CN"/>
              </w:rPr>
            </w:pPr>
            <w:r>
              <w:rPr>
                <w:color w:val="auto"/>
                <w:lang w:val="en-US" w:eastAsia="zh-CN"/>
              </w:rPr>
              <w:t xml:space="preserve">0.1 </w:t>
            </w:r>
          </w:p>
        </w:tc>
      </w:tr>
      <w:tr w14:paraId="047F7F0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51" w:type="dxa"/>
            <w:vMerge w:val="continue"/>
            <w:tcBorders>
              <w:right w:val="single" w:color="000000" w:sz="4" w:space="0"/>
            </w:tcBorders>
            <w:shd w:val="clear" w:color="auto" w:fill="auto"/>
            <w:vAlign w:val="center"/>
          </w:tcPr>
          <w:p w14:paraId="76D8E152">
            <w:pPr>
              <w:pStyle w:val="23"/>
              <w:bidi w:val="0"/>
              <w:rPr>
                <w:rFonts w:hint="default"/>
                <w:color w:val="auto"/>
                <w:lang w:val="en-US" w:eastAsia="zh-CN"/>
              </w:rPr>
            </w:pPr>
          </w:p>
        </w:tc>
        <w:tc>
          <w:tcPr>
            <w:tcW w:w="1155" w:type="dxa"/>
            <w:vMerge w:val="continue"/>
            <w:tcBorders>
              <w:left w:val="single" w:color="000000" w:sz="4" w:space="0"/>
              <w:right w:val="single" w:color="000000" w:sz="4" w:space="0"/>
            </w:tcBorders>
            <w:shd w:val="clear" w:color="auto" w:fill="auto"/>
            <w:vAlign w:val="center"/>
          </w:tcPr>
          <w:p w14:paraId="5CA998DC">
            <w:pPr>
              <w:pStyle w:val="23"/>
              <w:bidi w:val="0"/>
              <w:rPr>
                <w:rFonts w:hint="default"/>
                <w:color w:val="auto"/>
                <w:lang w:val="en-US" w:eastAsia="zh-CN"/>
              </w:rPr>
            </w:pPr>
          </w:p>
        </w:tc>
        <w:tc>
          <w:tcPr>
            <w:tcW w:w="987" w:type="dxa"/>
            <w:vMerge w:val="continue"/>
            <w:tcBorders>
              <w:top w:val="single" w:color="000000" w:sz="4" w:space="0"/>
              <w:left w:val="single" w:color="000000" w:sz="4" w:space="0"/>
              <w:right w:val="single" w:color="000000" w:sz="4" w:space="0"/>
            </w:tcBorders>
            <w:shd w:val="clear" w:color="auto" w:fill="auto"/>
            <w:vAlign w:val="center"/>
          </w:tcPr>
          <w:p w14:paraId="6221CC90">
            <w:pPr>
              <w:pStyle w:val="23"/>
              <w:bidi w:val="0"/>
              <w:rPr>
                <w:rFonts w:hint="default"/>
                <w:color w:val="auto"/>
                <w:lang w:val="en-US" w:eastAsia="zh-CN"/>
              </w:rPr>
            </w:pPr>
          </w:p>
        </w:tc>
        <w:tc>
          <w:tcPr>
            <w:tcW w:w="878" w:type="dxa"/>
            <w:tcBorders>
              <w:top w:val="single" w:color="000000" w:sz="4" w:space="0"/>
              <w:left w:val="single" w:color="000000" w:sz="4" w:space="0"/>
              <w:right w:val="single" w:color="000000" w:sz="4" w:space="0"/>
            </w:tcBorders>
            <w:shd w:val="clear" w:color="auto" w:fill="auto"/>
            <w:vAlign w:val="center"/>
          </w:tcPr>
          <w:p w14:paraId="6CA92AAF">
            <w:pPr>
              <w:pStyle w:val="23"/>
              <w:bidi w:val="0"/>
              <w:rPr>
                <w:rFonts w:hint="default"/>
                <w:color w:val="auto"/>
                <w:lang w:val="en-US" w:eastAsia="zh-CN"/>
              </w:rPr>
            </w:pPr>
            <w:r>
              <w:rPr>
                <w:color w:val="auto"/>
                <w:lang w:val="en-US" w:eastAsia="zh-CN"/>
              </w:rPr>
              <w:t>FJZK-SB</w:t>
            </w:r>
            <w:r>
              <w:rPr>
                <w:color w:val="auto"/>
                <w:lang w:val="en-US" w:eastAsia="zh-CN"/>
              </w:rPr>
              <w:br w:type="textWrapping"/>
            </w:r>
            <w:r>
              <w:rPr>
                <w:color w:val="auto"/>
                <w:lang w:val="en-US" w:eastAsia="zh-CN"/>
              </w:rPr>
              <w:t>1671</w:t>
            </w:r>
          </w:p>
        </w:tc>
        <w:tc>
          <w:tcPr>
            <w:tcW w:w="796" w:type="dxa"/>
            <w:tcBorders>
              <w:top w:val="single" w:color="000000" w:sz="4" w:space="0"/>
              <w:left w:val="single" w:color="000000" w:sz="4" w:space="0"/>
              <w:right w:val="single" w:color="000000" w:sz="4" w:space="0"/>
            </w:tcBorders>
            <w:shd w:val="clear" w:color="auto" w:fill="auto"/>
            <w:vAlign w:val="center"/>
          </w:tcPr>
          <w:p w14:paraId="5206EBFD">
            <w:pPr>
              <w:pStyle w:val="23"/>
              <w:bidi w:val="0"/>
              <w:rPr>
                <w:rFonts w:hint="default"/>
                <w:color w:val="auto"/>
                <w:lang w:val="en-US" w:eastAsia="zh-CN"/>
              </w:rPr>
            </w:pPr>
            <w:r>
              <w:rPr>
                <w:color w:val="auto"/>
                <w:lang w:val="en-US" w:eastAsia="zh-CN"/>
              </w:rPr>
              <w:t xml:space="preserve">99.8 </w:t>
            </w:r>
          </w:p>
        </w:tc>
        <w:tc>
          <w:tcPr>
            <w:tcW w:w="845" w:type="dxa"/>
            <w:tcBorders>
              <w:top w:val="single" w:color="000000" w:sz="4" w:space="0"/>
              <w:left w:val="single" w:color="000000" w:sz="4" w:space="0"/>
              <w:right w:val="single" w:color="000000" w:sz="4" w:space="0"/>
            </w:tcBorders>
            <w:shd w:val="clear" w:color="auto" w:fill="auto"/>
            <w:vAlign w:val="center"/>
          </w:tcPr>
          <w:p w14:paraId="676B3CE4">
            <w:pPr>
              <w:pStyle w:val="23"/>
              <w:bidi w:val="0"/>
              <w:rPr>
                <w:rFonts w:hint="default"/>
                <w:color w:val="auto"/>
                <w:lang w:val="en-US" w:eastAsia="zh-CN"/>
              </w:rPr>
            </w:pPr>
            <w:r>
              <w:rPr>
                <w:color w:val="auto"/>
                <w:lang w:val="en-US" w:eastAsia="zh-CN"/>
              </w:rPr>
              <w:t xml:space="preserve">100 </w:t>
            </w:r>
          </w:p>
        </w:tc>
        <w:tc>
          <w:tcPr>
            <w:tcW w:w="795" w:type="dxa"/>
            <w:tcBorders>
              <w:top w:val="single" w:color="000000" w:sz="4" w:space="0"/>
              <w:left w:val="single" w:color="000000" w:sz="4" w:space="0"/>
              <w:right w:val="single" w:color="000000" w:sz="4" w:space="0"/>
            </w:tcBorders>
            <w:shd w:val="clear" w:color="auto" w:fill="auto"/>
            <w:vAlign w:val="center"/>
          </w:tcPr>
          <w:p w14:paraId="47476B8E">
            <w:pPr>
              <w:pStyle w:val="23"/>
              <w:bidi w:val="0"/>
              <w:rPr>
                <w:rFonts w:hint="default"/>
                <w:color w:val="auto"/>
                <w:lang w:val="en-US" w:eastAsia="zh-CN"/>
              </w:rPr>
            </w:pPr>
            <w:r>
              <w:rPr>
                <w:color w:val="auto"/>
                <w:lang w:val="en-US" w:eastAsia="zh-CN"/>
              </w:rPr>
              <w:t xml:space="preserve">0.2 </w:t>
            </w:r>
          </w:p>
        </w:tc>
        <w:tc>
          <w:tcPr>
            <w:tcW w:w="837" w:type="dxa"/>
            <w:tcBorders>
              <w:top w:val="single" w:color="000000" w:sz="4" w:space="0"/>
              <w:left w:val="single" w:color="000000" w:sz="4" w:space="0"/>
              <w:right w:val="single" w:color="000000" w:sz="4" w:space="0"/>
            </w:tcBorders>
            <w:shd w:val="clear" w:color="auto" w:fill="auto"/>
            <w:vAlign w:val="center"/>
          </w:tcPr>
          <w:p w14:paraId="67B250FB">
            <w:pPr>
              <w:pStyle w:val="23"/>
              <w:bidi w:val="0"/>
              <w:rPr>
                <w:rFonts w:hint="default"/>
                <w:color w:val="auto"/>
                <w:lang w:val="en-US" w:eastAsia="zh-CN"/>
              </w:rPr>
            </w:pPr>
            <w:r>
              <w:rPr>
                <w:color w:val="auto"/>
                <w:lang w:val="en-US" w:eastAsia="zh-CN"/>
              </w:rPr>
              <w:t xml:space="preserve">100 </w:t>
            </w:r>
          </w:p>
        </w:tc>
        <w:tc>
          <w:tcPr>
            <w:tcW w:w="889" w:type="dxa"/>
            <w:tcBorders>
              <w:top w:val="single" w:color="000000" w:sz="4" w:space="0"/>
              <w:left w:val="single" w:color="000000" w:sz="4" w:space="0"/>
              <w:right w:val="single" w:color="000000" w:sz="4" w:space="0"/>
            </w:tcBorders>
            <w:shd w:val="clear" w:color="auto" w:fill="auto"/>
            <w:vAlign w:val="center"/>
          </w:tcPr>
          <w:p w14:paraId="45998D06">
            <w:pPr>
              <w:pStyle w:val="23"/>
              <w:bidi w:val="0"/>
              <w:rPr>
                <w:rFonts w:hint="default"/>
                <w:color w:val="auto"/>
                <w:lang w:val="en-US" w:eastAsia="zh-CN"/>
              </w:rPr>
            </w:pPr>
            <w:r>
              <w:rPr>
                <w:color w:val="auto"/>
                <w:lang w:val="en-US" w:eastAsia="zh-CN"/>
              </w:rPr>
              <w:t xml:space="preserve">100 </w:t>
            </w:r>
          </w:p>
        </w:tc>
        <w:tc>
          <w:tcPr>
            <w:tcW w:w="938" w:type="dxa"/>
            <w:tcBorders>
              <w:top w:val="single" w:color="000000" w:sz="4" w:space="0"/>
              <w:left w:val="single" w:color="000000" w:sz="4" w:space="0"/>
            </w:tcBorders>
            <w:shd w:val="clear" w:color="auto" w:fill="auto"/>
            <w:vAlign w:val="center"/>
          </w:tcPr>
          <w:p w14:paraId="180F36D2">
            <w:pPr>
              <w:pStyle w:val="23"/>
              <w:bidi w:val="0"/>
              <w:rPr>
                <w:rFonts w:hint="default"/>
                <w:color w:val="auto"/>
                <w:lang w:val="en-US" w:eastAsia="zh-CN"/>
              </w:rPr>
            </w:pPr>
            <w:r>
              <w:rPr>
                <w:color w:val="auto"/>
                <w:lang w:val="en-US" w:eastAsia="zh-CN"/>
              </w:rPr>
              <w:t xml:space="preserve">0 </w:t>
            </w:r>
          </w:p>
        </w:tc>
      </w:tr>
    </w:tbl>
    <w:p w14:paraId="456C968B">
      <w:pPr>
        <w:pStyle w:val="21"/>
        <w:bidi w:val="0"/>
        <w:rPr>
          <w:rFonts w:hint="default" w:ascii="Times New Roman" w:hAnsi="Times New Roman" w:cs="Times New Roman"/>
          <w:color w:val="auto"/>
          <w:lang w:val="en-US" w:eastAsia="zh-CN"/>
        </w:rPr>
      </w:pPr>
      <w:r>
        <w:rPr>
          <w:rFonts w:hint="default" w:ascii="Times New Roman" w:hAnsi="Times New Roman" w:cs="Times New Roman"/>
          <w:color w:val="auto"/>
        </w:rPr>
        <w:t>表8</w:t>
      </w:r>
      <w:r>
        <w:rPr>
          <w:rFonts w:hint="default" w:ascii="Times New Roman" w:hAnsi="Times New Roman"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2 废气检测质量控制一览表</w:t>
      </w:r>
    </w:p>
    <w:tbl>
      <w:tblPr>
        <w:tblStyle w:val="14"/>
        <w:tblW w:w="9071"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8"/>
        <w:gridCol w:w="1639"/>
        <w:gridCol w:w="1483"/>
        <w:gridCol w:w="1621"/>
        <w:gridCol w:w="1492"/>
        <w:gridCol w:w="1508"/>
      </w:tblGrid>
      <w:tr w14:paraId="7CA54C0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328" w:type="dxa"/>
            <w:tcBorders>
              <w:bottom w:val="single" w:color="000000" w:sz="4" w:space="0"/>
              <w:right w:val="single" w:color="000000" w:sz="4" w:space="0"/>
            </w:tcBorders>
            <w:shd w:val="clear" w:color="auto" w:fill="auto"/>
            <w:vAlign w:val="center"/>
          </w:tcPr>
          <w:p w14:paraId="7762506B">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分析日期</w:t>
            </w:r>
          </w:p>
        </w:tc>
        <w:tc>
          <w:tcPr>
            <w:tcW w:w="1639" w:type="dxa"/>
            <w:tcBorders>
              <w:left w:val="single" w:color="000000" w:sz="4" w:space="0"/>
              <w:bottom w:val="single" w:color="000000" w:sz="4" w:space="0"/>
              <w:right w:val="single" w:color="000000" w:sz="4" w:space="0"/>
            </w:tcBorders>
            <w:shd w:val="clear" w:color="auto" w:fill="auto"/>
            <w:vAlign w:val="center"/>
          </w:tcPr>
          <w:p w14:paraId="2A001CCB">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项目名称</w:t>
            </w:r>
          </w:p>
        </w:tc>
        <w:tc>
          <w:tcPr>
            <w:tcW w:w="1483" w:type="dxa"/>
            <w:tcBorders>
              <w:left w:val="single" w:color="000000" w:sz="4" w:space="0"/>
              <w:bottom w:val="single" w:color="000000" w:sz="4" w:space="0"/>
              <w:right w:val="single" w:color="000000" w:sz="4" w:space="0"/>
            </w:tcBorders>
            <w:shd w:val="clear" w:color="auto" w:fill="auto"/>
            <w:vAlign w:val="center"/>
          </w:tcPr>
          <w:p w14:paraId="114024C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控样编号</w:t>
            </w:r>
          </w:p>
        </w:tc>
        <w:tc>
          <w:tcPr>
            <w:tcW w:w="1621" w:type="dxa"/>
            <w:tcBorders>
              <w:left w:val="single" w:color="000000" w:sz="4" w:space="0"/>
              <w:bottom w:val="single" w:color="000000" w:sz="4" w:space="0"/>
              <w:right w:val="single" w:color="000000" w:sz="4" w:space="0"/>
            </w:tcBorders>
            <w:shd w:val="clear" w:color="auto" w:fill="auto"/>
            <w:vAlign w:val="center"/>
          </w:tcPr>
          <w:p w14:paraId="5D585BB7">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标准值(mg)</w:t>
            </w:r>
          </w:p>
        </w:tc>
        <w:tc>
          <w:tcPr>
            <w:tcW w:w="1492" w:type="dxa"/>
            <w:tcBorders>
              <w:left w:val="single" w:color="000000" w:sz="4" w:space="0"/>
              <w:bottom w:val="single" w:color="000000" w:sz="4" w:space="0"/>
              <w:right w:val="single" w:color="000000" w:sz="4" w:space="0"/>
            </w:tcBorders>
            <w:shd w:val="clear" w:color="auto" w:fill="auto"/>
            <w:vAlign w:val="center"/>
          </w:tcPr>
          <w:p w14:paraId="7D8B8582">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测量值(mg)</w:t>
            </w:r>
          </w:p>
        </w:tc>
        <w:tc>
          <w:tcPr>
            <w:tcW w:w="1508" w:type="dxa"/>
            <w:tcBorders>
              <w:left w:val="single" w:color="000000" w:sz="4" w:space="0"/>
              <w:bottom w:val="single" w:color="000000" w:sz="4" w:space="0"/>
            </w:tcBorders>
            <w:shd w:val="clear" w:color="auto" w:fill="auto"/>
            <w:vAlign w:val="center"/>
          </w:tcPr>
          <w:p w14:paraId="04CCBFFE">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结论</w:t>
            </w:r>
          </w:p>
        </w:tc>
      </w:tr>
      <w:tr w14:paraId="36E658F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328" w:type="dxa"/>
            <w:vMerge w:val="restart"/>
            <w:tcBorders>
              <w:top w:val="single" w:color="000000" w:sz="4" w:space="0"/>
              <w:bottom w:val="single" w:color="000000" w:sz="4" w:space="0"/>
              <w:right w:val="single" w:color="000000" w:sz="4" w:space="0"/>
            </w:tcBorders>
            <w:shd w:val="clear" w:color="auto" w:fill="auto"/>
            <w:vAlign w:val="center"/>
          </w:tcPr>
          <w:p w14:paraId="1517D28A">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2024.9.5-2024.9.6</w:t>
            </w: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ADE0">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标准滤膜A</w:t>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2A8D5">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标准空白</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2920A">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363.64</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CB29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 xml:space="preserve">363.69 </w:t>
            </w:r>
          </w:p>
        </w:tc>
        <w:tc>
          <w:tcPr>
            <w:tcW w:w="1508" w:type="dxa"/>
            <w:tcBorders>
              <w:top w:val="single" w:color="000000" w:sz="4" w:space="0"/>
              <w:left w:val="single" w:color="000000" w:sz="4" w:space="0"/>
              <w:bottom w:val="single" w:color="000000" w:sz="4" w:space="0"/>
            </w:tcBorders>
            <w:shd w:val="clear" w:color="auto" w:fill="auto"/>
            <w:vAlign w:val="center"/>
          </w:tcPr>
          <w:p w14:paraId="690343A6">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合格</w:t>
            </w:r>
          </w:p>
        </w:tc>
      </w:tr>
      <w:tr w14:paraId="3E997D9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328" w:type="dxa"/>
            <w:vMerge w:val="continue"/>
            <w:tcBorders>
              <w:top w:val="single" w:color="000000" w:sz="4" w:space="0"/>
              <w:bottom w:val="single" w:color="000000" w:sz="4" w:space="0"/>
              <w:right w:val="single" w:color="000000" w:sz="4" w:space="0"/>
            </w:tcBorders>
            <w:shd w:val="clear" w:color="auto" w:fill="auto"/>
            <w:vAlign w:val="center"/>
          </w:tcPr>
          <w:p w14:paraId="13262A1E">
            <w:pPr>
              <w:pStyle w:val="23"/>
              <w:bidi w:val="0"/>
              <w:rPr>
                <w:rFonts w:hint="default" w:ascii="Times New Roman" w:hAnsi="Times New Roman" w:cs="Times New Roman"/>
                <w:color w:val="auto"/>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384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标准滤膜B</w:t>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9CA3D">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标准空白</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75197">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365.68</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0E621">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 xml:space="preserve">365.61 </w:t>
            </w:r>
          </w:p>
        </w:tc>
        <w:tc>
          <w:tcPr>
            <w:tcW w:w="1508" w:type="dxa"/>
            <w:tcBorders>
              <w:top w:val="single" w:color="000000" w:sz="4" w:space="0"/>
              <w:left w:val="single" w:color="000000" w:sz="4" w:space="0"/>
              <w:bottom w:val="single" w:color="000000" w:sz="4" w:space="0"/>
            </w:tcBorders>
            <w:shd w:val="clear" w:color="auto" w:fill="auto"/>
            <w:vAlign w:val="center"/>
          </w:tcPr>
          <w:p w14:paraId="24AE2F4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合格</w:t>
            </w:r>
          </w:p>
        </w:tc>
      </w:tr>
      <w:tr w14:paraId="4CA5524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328" w:type="dxa"/>
            <w:vMerge w:val="restart"/>
            <w:tcBorders>
              <w:top w:val="single" w:color="000000" w:sz="4" w:space="0"/>
              <w:bottom w:val="single" w:color="000000" w:sz="4" w:space="0"/>
              <w:right w:val="single" w:color="000000" w:sz="4" w:space="0"/>
            </w:tcBorders>
            <w:shd w:val="clear" w:color="auto" w:fill="auto"/>
            <w:vAlign w:val="center"/>
          </w:tcPr>
          <w:p w14:paraId="499615D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2024.9.9-2024.9.10</w:t>
            </w: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5DF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标准滤膜C</w:t>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198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标准空白</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919E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366.37</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6C1A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 xml:space="preserve">366.42 </w:t>
            </w:r>
          </w:p>
        </w:tc>
        <w:tc>
          <w:tcPr>
            <w:tcW w:w="1508" w:type="dxa"/>
            <w:tcBorders>
              <w:top w:val="single" w:color="000000" w:sz="4" w:space="0"/>
              <w:left w:val="single" w:color="000000" w:sz="4" w:space="0"/>
              <w:bottom w:val="single" w:color="000000" w:sz="4" w:space="0"/>
            </w:tcBorders>
            <w:shd w:val="clear" w:color="auto" w:fill="auto"/>
            <w:vAlign w:val="center"/>
          </w:tcPr>
          <w:p w14:paraId="36D32D0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合格</w:t>
            </w:r>
          </w:p>
        </w:tc>
      </w:tr>
      <w:tr w14:paraId="3CCB54A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328" w:type="dxa"/>
            <w:vMerge w:val="continue"/>
            <w:tcBorders>
              <w:top w:val="single" w:color="000000" w:sz="4" w:space="0"/>
              <w:bottom w:val="single" w:color="000000" w:sz="4" w:space="0"/>
              <w:right w:val="single" w:color="000000" w:sz="4" w:space="0"/>
            </w:tcBorders>
            <w:shd w:val="clear" w:color="auto" w:fill="auto"/>
            <w:vAlign w:val="center"/>
          </w:tcPr>
          <w:p w14:paraId="2566CC5D">
            <w:pPr>
              <w:pStyle w:val="23"/>
              <w:bidi w:val="0"/>
              <w:rPr>
                <w:rFonts w:hint="default" w:ascii="Times New Roman" w:hAnsi="Times New Roman" w:cs="Times New Roman"/>
                <w:color w:val="auto"/>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074F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标准滤膜D</w:t>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2EEBE">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标准空白</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3C3A6">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369.14</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5EA7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 xml:space="preserve">369.18 </w:t>
            </w:r>
          </w:p>
        </w:tc>
        <w:tc>
          <w:tcPr>
            <w:tcW w:w="1508" w:type="dxa"/>
            <w:tcBorders>
              <w:top w:val="single" w:color="000000" w:sz="4" w:space="0"/>
              <w:left w:val="single" w:color="000000" w:sz="4" w:space="0"/>
              <w:bottom w:val="single" w:color="000000" w:sz="4" w:space="0"/>
            </w:tcBorders>
            <w:shd w:val="clear" w:color="auto" w:fill="auto"/>
            <w:vAlign w:val="center"/>
          </w:tcPr>
          <w:p w14:paraId="243FD81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合格</w:t>
            </w:r>
          </w:p>
        </w:tc>
      </w:tr>
      <w:tr w14:paraId="7EF8144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328" w:type="dxa"/>
            <w:vMerge w:val="restart"/>
            <w:tcBorders>
              <w:top w:val="single" w:color="000000" w:sz="4" w:space="0"/>
              <w:right w:val="single" w:color="000000" w:sz="4" w:space="0"/>
            </w:tcBorders>
            <w:shd w:val="clear" w:color="auto" w:fill="auto"/>
            <w:vAlign w:val="center"/>
          </w:tcPr>
          <w:p w14:paraId="26883BA9">
            <w:pPr>
              <w:pStyle w:val="23"/>
              <w:bidi w:val="0"/>
              <w:rPr>
                <w:rFonts w:hint="default"/>
                <w:color w:val="auto"/>
                <w:lang w:val="en-US"/>
              </w:rPr>
            </w:pPr>
            <w:r>
              <w:rPr>
                <w:color w:val="auto"/>
                <w:lang w:val="en-US" w:eastAsia="zh-CN"/>
              </w:rPr>
              <w:t>2024.</w:t>
            </w:r>
            <w:r>
              <w:rPr>
                <w:rFonts w:hint="eastAsia"/>
                <w:color w:val="auto"/>
                <w:lang w:val="en-US" w:eastAsia="zh-CN"/>
              </w:rPr>
              <w:t>10</w:t>
            </w:r>
            <w:r>
              <w:rPr>
                <w:color w:val="auto"/>
                <w:lang w:val="en-US" w:eastAsia="zh-CN"/>
              </w:rPr>
              <w:t>.</w:t>
            </w:r>
            <w:r>
              <w:rPr>
                <w:rFonts w:hint="eastAsia"/>
                <w:color w:val="auto"/>
                <w:lang w:val="en-US" w:eastAsia="zh-CN"/>
              </w:rPr>
              <w:t>10</w:t>
            </w:r>
            <w:r>
              <w:rPr>
                <w:color w:val="auto"/>
                <w:lang w:val="en-US" w:eastAsia="zh-CN"/>
              </w:rPr>
              <w:t>-2024.</w:t>
            </w:r>
            <w:r>
              <w:rPr>
                <w:rFonts w:hint="eastAsia"/>
                <w:color w:val="auto"/>
                <w:lang w:val="en-US" w:eastAsia="zh-CN"/>
              </w:rPr>
              <w:t>10</w:t>
            </w:r>
            <w:r>
              <w:rPr>
                <w:color w:val="auto"/>
                <w:lang w:val="en-US" w:eastAsia="zh-CN"/>
              </w:rPr>
              <w:t>.</w:t>
            </w:r>
            <w:r>
              <w:rPr>
                <w:rFonts w:hint="eastAsia"/>
                <w:color w:val="auto"/>
                <w:lang w:val="en-US" w:eastAsia="zh-CN"/>
              </w:rPr>
              <w:t>11</w:t>
            </w: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E1D9">
            <w:pPr>
              <w:pStyle w:val="23"/>
              <w:bidi w:val="0"/>
              <w:rPr>
                <w:rFonts w:hint="default"/>
                <w:color w:val="auto"/>
                <w:lang w:val="en-US" w:eastAsia="zh-CN"/>
              </w:rPr>
            </w:pPr>
            <w:r>
              <w:rPr>
                <w:color w:val="auto"/>
                <w:lang w:val="en-US" w:eastAsia="zh-CN"/>
              </w:rPr>
              <w:t>标准滤膜 A</w:t>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B4F0C">
            <w:pPr>
              <w:pStyle w:val="23"/>
              <w:bidi w:val="0"/>
              <w:rPr>
                <w:rFonts w:hint="default"/>
                <w:color w:val="auto"/>
                <w:lang w:val="en-US" w:eastAsia="zh-CN"/>
              </w:rPr>
            </w:pPr>
            <w:r>
              <w:rPr>
                <w:color w:val="auto"/>
                <w:lang w:val="en-US" w:eastAsia="zh-CN"/>
              </w:rPr>
              <w:t>标准空白</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999BC">
            <w:pPr>
              <w:pStyle w:val="23"/>
              <w:bidi w:val="0"/>
              <w:rPr>
                <w:rFonts w:hint="default"/>
                <w:color w:val="auto"/>
                <w:lang w:val="en-US" w:eastAsia="zh-CN"/>
              </w:rPr>
            </w:pPr>
            <w:r>
              <w:rPr>
                <w:color w:val="auto"/>
                <w:lang w:val="en-US" w:eastAsia="zh-CN"/>
              </w:rPr>
              <w:t xml:space="preserve">363.64 </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205DC">
            <w:pPr>
              <w:pStyle w:val="23"/>
              <w:bidi w:val="0"/>
              <w:rPr>
                <w:rFonts w:hint="default"/>
                <w:color w:val="auto"/>
                <w:lang w:val="en-US" w:eastAsia="zh-CN"/>
              </w:rPr>
            </w:pPr>
            <w:r>
              <w:rPr>
                <w:color w:val="auto"/>
                <w:lang w:val="en-US" w:eastAsia="zh-CN"/>
              </w:rPr>
              <w:t xml:space="preserve">363.57 </w:t>
            </w:r>
          </w:p>
        </w:tc>
        <w:tc>
          <w:tcPr>
            <w:tcW w:w="1508" w:type="dxa"/>
            <w:tcBorders>
              <w:top w:val="single" w:color="000000" w:sz="4" w:space="0"/>
              <w:left w:val="single" w:color="000000" w:sz="4" w:space="0"/>
              <w:bottom w:val="single" w:color="000000" w:sz="4" w:space="0"/>
            </w:tcBorders>
            <w:shd w:val="clear" w:color="auto" w:fill="auto"/>
            <w:vAlign w:val="center"/>
          </w:tcPr>
          <w:p w14:paraId="137883F4">
            <w:pPr>
              <w:pStyle w:val="23"/>
              <w:bidi w:val="0"/>
              <w:rPr>
                <w:rFonts w:hint="default"/>
                <w:color w:val="auto"/>
                <w:lang w:val="en-US" w:eastAsia="zh-CN"/>
              </w:rPr>
            </w:pPr>
            <w:r>
              <w:rPr>
                <w:color w:val="auto"/>
                <w:lang w:val="en-US" w:eastAsia="zh-CN"/>
              </w:rPr>
              <w:t>合格</w:t>
            </w:r>
          </w:p>
        </w:tc>
      </w:tr>
      <w:tr w14:paraId="025E2F6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328" w:type="dxa"/>
            <w:vMerge w:val="continue"/>
            <w:tcBorders>
              <w:bottom w:val="single" w:color="000000" w:sz="4" w:space="0"/>
              <w:right w:val="single" w:color="000000" w:sz="4" w:space="0"/>
            </w:tcBorders>
            <w:shd w:val="clear" w:color="auto" w:fill="auto"/>
            <w:vAlign w:val="center"/>
          </w:tcPr>
          <w:p w14:paraId="690E80D8">
            <w:pPr>
              <w:pStyle w:val="23"/>
              <w:bidi w:val="0"/>
              <w:rPr>
                <w:rFonts w:hint="default"/>
                <w:color w:val="auto"/>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0C889">
            <w:pPr>
              <w:pStyle w:val="23"/>
              <w:bidi w:val="0"/>
              <w:rPr>
                <w:rFonts w:hint="default"/>
                <w:color w:val="auto"/>
                <w:lang w:val="en-US" w:eastAsia="zh-CN"/>
              </w:rPr>
            </w:pPr>
            <w:r>
              <w:rPr>
                <w:color w:val="auto"/>
                <w:lang w:val="en-US" w:eastAsia="zh-CN"/>
              </w:rPr>
              <w:t>标准滤膜 B</w:t>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29F79">
            <w:pPr>
              <w:pStyle w:val="23"/>
              <w:bidi w:val="0"/>
              <w:rPr>
                <w:rFonts w:hint="default"/>
                <w:color w:val="auto"/>
                <w:lang w:val="en-US" w:eastAsia="zh-CN"/>
              </w:rPr>
            </w:pPr>
            <w:r>
              <w:rPr>
                <w:color w:val="auto"/>
                <w:lang w:val="en-US" w:eastAsia="zh-CN"/>
              </w:rPr>
              <w:t>标准空白</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37995">
            <w:pPr>
              <w:pStyle w:val="23"/>
              <w:bidi w:val="0"/>
              <w:rPr>
                <w:rFonts w:hint="default"/>
                <w:color w:val="auto"/>
                <w:lang w:val="en-US" w:eastAsia="zh-CN"/>
              </w:rPr>
            </w:pPr>
            <w:r>
              <w:rPr>
                <w:color w:val="auto"/>
                <w:lang w:val="en-US" w:eastAsia="zh-CN"/>
              </w:rPr>
              <w:t xml:space="preserve">365.68 </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ABD34">
            <w:pPr>
              <w:pStyle w:val="23"/>
              <w:bidi w:val="0"/>
              <w:rPr>
                <w:rFonts w:hint="default"/>
                <w:color w:val="auto"/>
                <w:lang w:val="en-US" w:eastAsia="zh-CN"/>
              </w:rPr>
            </w:pPr>
            <w:r>
              <w:rPr>
                <w:color w:val="auto"/>
                <w:lang w:val="en-US" w:eastAsia="zh-CN"/>
              </w:rPr>
              <w:t xml:space="preserve">365.79 </w:t>
            </w:r>
          </w:p>
        </w:tc>
        <w:tc>
          <w:tcPr>
            <w:tcW w:w="1508" w:type="dxa"/>
            <w:tcBorders>
              <w:top w:val="single" w:color="000000" w:sz="4" w:space="0"/>
              <w:left w:val="single" w:color="000000" w:sz="4" w:space="0"/>
              <w:bottom w:val="single" w:color="000000" w:sz="4" w:space="0"/>
            </w:tcBorders>
            <w:shd w:val="clear" w:color="auto" w:fill="auto"/>
            <w:vAlign w:val="center"/>
          </w:tcPr>
          <w:p w14:paraId="6169E2E1">
            <w:pPr>
              <w:pStyle w:val="23"/>
              <w:bidi w:val="0"/>
              <w:rPr>
                <w:rFonts w:hint="default"/>
                <w:color w:val="auto"/>
                <w:lang w:val="en-US" w:eastAsia="zh-CN"/>
              </w:rPr>
            </w:pPr>
            <w:r>
              <w:rPr>
                <w:color w:val="auto"/>
                <w:lang w:val="en-US" w:eastAsia="zh-CN"/>
              </w:rPr>
              <w:t>合格</w:t>
            </w:r>
          </w:p>
        </w:tc>
      </w:tr>
      <w:tr w14:paraId="218E4E1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328" w:type="dxa"/>
            <w:vMerge w:val="restart"/>
            <w:tcBorders>
              <w:top w:val="single" w:color="000000" w:sz="4" w:space="0"/>
              <w:right w:val="single" w:color="000000" w:sz="4" w:space="0"/>
            </w:tcBorders>
            <w:shd w:val="clear" w:color="auto" w:fill="auto"/>
            <w:vAlign w:val="center"/>
          </w:tcPr>
          <w:p w14:paraId="15374E9D">
            <w:pPr>
              <w:pStyle w:val="23"/>
              <w:bidi w:val="0"/>
              <w:rPr>
                <w:rFonts w:hint="default"/>
                <w:color w:val="auto"/>
              </w:rPr>
            </w:pPr>
            <w:r>
              <w:rPr>
                <w:color w:val="auto"/>
                <w:lang w:val="en-US" w:eastAsia="zh-CN"/>
              </w:rPr>
              <w:t>2024.</w:t>
            </w:r>
            <w:r>
              <w:rPr>
                <w:rFonts w:hint="eastAsia"/>
                <w:color w:val="auto"/>
                <w:lang w:val="en-US" w:eastAsia="zh-CN"/>
              </w:rPr>
              <w:t>10</w:t>
            </w:r>
            <w:r>
              <w:rPr>
                <w:color w:val="auto"/>
                <w:lang w:val="en-US" w:eastAsia="zh-CN"/>
              </w:rPr>
              <w:t>.</w:t>
            </w:r>
            <w:r>
              <w:rPr>
                <w:rFonts w:hint="eastAsia"/>
                <w:color w:val="auto"/>
                <w:lang w:val="en-US" w:eastAsia="zh-CN"/>
              </w:rPr>
              <w:t>12</w:t>
            </w:r>
            <w:r>
              <w:rPr>
                <w:color w:val="auto"/>
                <w:lang w:val="en-US" w:eastAsia="zh-CN"/>
              </w:rPr>
              <w:t>-2024.</w:t>
            </w:r>
            <w:r>
              <w:rPr>
                <w:rFonts w:hint="eastAsia"/>
                <w:color w:val="auto"/>
                <w:lang w:val="en-US" w:eastAsia="zh-CN"/>
              </w:rPr>
              <w:t>10</w:t>
            </w:r>
            <w:r>
              <w:rPr>
                <w:color w:val="auto"/>
                <w:lang w:val="en-US" w:eastAsia="zh-CN"/>
              </w:rPr>
              <w:t>.1</w:t>
            </w:r>
            <w:r>
              <w:rPr>
                <w:rFonts w:hint="eastAsia"/>
                <w:color w:val="auto"/>
                <w:lang w:val="en-US" w:eastAsia="zh-CN"/>
              </w:rPr>
              <w:t>3</w:t>
            </w: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BA361">
            <w:pPr>
              <w:pStyle w:val="23"/>
              <w:bidi w:val="0"/>
              <w:rPr>
                <w:rFonts w:hint="default"/>
                <w:color w:val="auto"/>
                <w:lang w:val="en-US" w:eastAsia="zh-CN"/>
              </w:rPr>
            </w:pPr>
            <w:r>
              <w:rPr>
                <w:color w:val="auto"/>
                <w:lang w:val="en-US" w:eastAsia="zh-CN"/>
              </w:rPr>
              <w:t>标准滤膜 C</w:t>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5FE5">
            <w:pPr>
              <w:pStyle w:val="23"/>
              <w:bidi w:val="0"/>
              <w:rPr>
                <w:rFonts w:hint="default"/>
                <w:color w:val="auto"/>
                <w:lang w:val="en-US" w:eastAsia="zh-CN"/>
              </w:rPr>
            </w:pPr>
            <w:r>
              <w:rPr>
                <w:color w:val="auto"/>
                <w:lang w:val="en-US" w:eastAsia="zh-CN"/>
              </w:rPr>
              <w:t>标准空白</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162A">
            <w:pPr>
              <w:pStyle w:val="23"/>
              <w:bidi w:val="0"/>
              <w:rPr>
                <w:rFonts w:hint="default"/>
                <w:color w:val="auto"/>
                <w:lang w:val="en-US" w:eastAsia="zh-CN"/>
              </w:rPr>
            </w:pPr>
            <w:r>
              <w:rPr>
                <w:color w:val="auto"/>
                <w:lang w:val="en-US" w:eastAsia="zh-CN"/>
              </w:rPr>
              <w:t xml:space="preserve">366.37 </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10B6B">
            <w:pPr>
              <w:pStyle w:val="23"/>
              <w:bidi w:val="0"/>
              <w:rPr>
                <w:rFonts w:hint="default"/>
                <w:color w:val="auto"/>
                <w:lang w:val="en-US" w:eastAsia="zh-CN"/>
              </w:rPr>
            </w:pPr>
            <w:r>
              <w:rPr>
                <w:color w:val="auto"/>
                <w:lang w:val="en-US" w:eastAsia="zh-CN"/>
              </w:rPr>
              <w:t xml:space="preserve">366.25 </w:t>
            </w:r>
          </w:p>
        </w:tc>
        <w:tc>
          <w:tcPr>
            <w:tcW w:w="1508" w:type="dxa"/>
            <w:tcBorders>
              <w:top w:val="single" w:color="000000" w:sz="4" w:space="0"/>
              <w:left w:val="single" w:color="000000" w:sz="4" w:space="0"/>
              <w:bottom w:val="single" w:color="000000" w:sz="4" w:space="0"/>
            </w:tcBorders>
            <w:shd w:val="clear" w:color="auto" w:fill="auto"/>
            <w:vAlign w:val="center"/>
          </w:tcPr>
          <w:p w14:paraId="3A094C74">
            <w:pPr>
              <w:pStyle w:val="23"/>
              <w:bidi w:val="0"/>
              <w:rPr>
                <w:rFonts w:hint="default"/>
                <w:color w:val="auto"/>
                <w:lang w:val="en-US" w:eastAsia="zh-CN"/>
              </w:rPr>
            </w:pPr>
            <w:r>
              <w:rPr>
                <w:color w:val="auto"/>
                <w:lang w:val="en-US" w:eastAsia="zh-CN"/>
              </w:rPr>
              <w:t>合格</w:t>
            </w:r>
          </w:p>
        </w:tc>
      </w:tr>
      <w:tr w14:paraId="0A38696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328" w:type="dxa"/>
            <w:vMerge w:val="continue"/>
            <w:tcBorders>
              <w:right w:val="single" w:color="000000" w:sz="4" w:space="0"/>
            </w:tcBorders>
            <w:shd w:val="clear" w:color="auto" w:fill="auto"/>
            <w:vAlign w:val="center"/>
          </w:tcPr>
          <w:p w14:paraId="78F94459">
            <w:pPr>
              <w:pStyle w:val="23"/>
              <w:bidi w:val="0"/>
              <w:rPr>
                <w:rFonts w:hint="default"/>
                <w:color w:val="auto"/>
              </w:rPr>
            </w:pPr>
          </w:p>
        </w:tc>
        <w:tc>
          <w:tcPr>
            <w:tcW w:w="1639" w:type="dxa"/>
            <w:tcBorders>
              <w:top w:val="single" w:color="000000" w:sz="4" w:space="0"/>
              <w:left w:val="single" w:color="000000" w:sz="4" w:space="0"/>
              <w:right w:val="single" w:color="000000" w:sz="4" w:space="0"/>
            </w:tcBorders>
            <w:shd w:val="clear" w:color="auto" w:fill="auto"/>
            <w:vAlign w:val="center"/>
          </w:tcPr>
          <w:p w14:paraId="3AA2743A">
            <w:pPr>
              <w:pStyle w:val="23"/>
              <w:bidi w:val="0"/>
              <w:rPr>
                <w:rFonts w:hint="default"/>
                <w:color w:val="auto"/>
                <w:lang w:val="en-US" w:eastAsia="zh-CN"/>
              </w:rPr>
            </w:pPr>
            <w:r>
              <w:rPr>
                <w:color w:val="auto"/>
                <w:lang w:val="en-US" w:eastAsia="zh-CN"/>
              </w:rPr>
              <w:t>标准滤膜 D</w:t>
            </w:r>
          </w:p>
        </w:tc>
        <w:tc>
          <w:tcPr>
            <w:tcW w:w="1483" w:type="dxa"/>
            <w:tcBorders>
              <w:top w:val="single" w:color="000000" w:sz="4" w:space="0"/>
              <w:left w:val="single" w:color="000000" w:sz="4" w:space="0"/>
              <w:right w:val="single" w:color="000000" w:sz="4" w:space="0"/>
            </w:tcBorders>
            <w:shd w:val="clear" w:color="auto" w:fill="auto"/>
            <w:vAlign w:val="center"/>
          </w:tcPr>
          <w:p w14:paraId="2580464A">
            <w:pPr>
              <w:pStyle w:val="23"/>
              <w:bidi w:val="0"/>
              <w:rPr>
                <w:rFonts w:hint="default"/>
                <w:color w:val="auto"/>
                <w:lang w:val="en-US" w:eastAsia="zh-CN"/>
              </w:rPr>
            </w:pPr>
            <w:r>
              <w:rPr>
                <w:color w:val="auto"/>
                <w:lang w:val="en-US" w:eastAsia="zh-CN"/>
              </w:rPr>
              <w:t>标准空白</w:t>
            </w:r>
          </w:p>
        </w:tc>
        <w:tc>
          <w:tcPr>
            <w:tcW w:w="1621" w:type="dxa"/>
            <w:tcBorders>
              <w:top w:val="single" w:color="000000" w:sz="4" w:space="0"/>
              <w:left w:val="single" w:color="000000" w:sz="4" w:space="0"/>
              <w:right w:val="single" w:color="000000" w:sz="4" w:space="0"/>
            </w:tcBorders>
            <w:shd w:val="clear" w:color="auto" w:fill="auto"/>
            <w:vAlign w:val="center"/>
          </w:tcPr>
          <w:p w14:paraId="1CC3312B">
            <w:pPr>
              <w:pStyle w:val="23"/>
              <w:bidi w:val="0"/>
              <w:rPr>
                <w:rFonts w:hint="default"/>
                <w:color w:val="auto"/>
                <w:lang w:val="en-US" w:eastAsia="zh-CN"/>
              </w:rPr>
            </w:pPr>
            <w:r>
              <w:rPr>
                <w:color w:val="auto"/>
                <w:lang w:val="en-US" w:eastAsia="zh-CN"/>
              </w:rPr>
              <w:t xml:space="preserve">369.14 </w:t>
            </w:r>
          </w:p>
        </w:tc>
        <w:tc>
          <w:tcPr>
            <w:tcW w:w="1492" w:type="dxa"/>
            <w:tcBorders>
              <w:top w:val="single" w:color="000000" w:sz="4" w:space="0"/>
              <w:left w:val="single" w:color="000000" w:sz="4" w:space="0"/>
              <w:right w:val="single" w:color="000000" w:sz="4" w:space="0"/>
            </w:tcBorders>
            <w:shd w:val="clear" w:color="auto" w:fill="auto"/>
            <w:vAlign w:val="center"/>
          </w:tcPr>
          <w:p w14:paraId="72E2B7E6">
            <w:pPr>
              <w:pStyle w:val="23"/>
              <w:bidi w:val="0"/>
              <w:rPr>
                <w:rFonts w:hint="default"/>
                <w:color w:val="auto"/>
                <w:lang w:val="en-US" w:eastAsia="zh-CN"/>
              </w:rPr>
            </w:pPr>
            <w:r>
              <w:rPr>
                <w:color w:val="auto"/>
                <w:lang w:val="en-US" w:eastAsia="zh-CN"/>
              </w:rPr>
              <w:t xml:space="preserve">369.06 </w:t>
            </w:r>
          </w:p>
        </w:tc>
        <w:tc>
          <w:tcPr>
            <w:tcW w:w="1508" w:type="dxa"/>
            <w:tcBorders>
              <w:top w:val="single" w:color="000000" w:sz="4" w:space="0"/>
              <w:left w:val="single" w:color="000000" w:sz="4" w:space="0"/>
            </w:tcBorders>
            <w:shd w:val="clear" w:color="auto" w:fill="auto"/>
            <w:vAlign w:val="center"/>
          </w:tcPr>
          <w:p w14:paraId="69DF0362">
            <w:pPr>
              <w:pStyle w:val="23"/>
              <w:bidi w:val="0"/>
              <w:rPr>
                <w:rFonts w:hint="default"/>
                <w:color w:val="auto"/>
                <w:lang w:val="en-US" w:eastAsia="zh-CN"/>
              </w:rPr>
            </w:pPr>
            <w:r>
              <w:rPr>
                <w:color w:val="auto"/>
                <w:lang w:val="en-US" w:eastAsia="zh-CN"/>
              </w:rPr>
              <w:t>合格</w:t>
            </w:r>
          </w:p>
        </w:tc>
      </w:tr>
    </w:tbl>
    <w:p w14:paraId="34FED994">
      <w:pPr>
        <w:pStyle w:val="21"/>
        <w:bidi w:val="0"/>
        <w:rPr>
          <w:rFonts w:hint="default" w:ascii="Times New Roman" w:hAnsi="Times New Roman" w:cs="Times New Roman"/>
          <w:color w:val="auto"/>
          <w:lang w:eastAsia="zh-CN"/>
        </w:rPr>
      </w:pPr>
      <w:r>
        <w:rPr>
          <w:rFonts w:hint="default" w:ascii="Times New Roman" w:hAnsi="Times New Roman" w:cs="Times New Roman"/>
          <w:color w:val="auto"/>
        </w:rPr>
        <w:t>表8</w:t>
      </w:r>
      <w:r>
        <w:rPr>
          <w:rFonts w:hint="default" w:ascii="Times New Roman" w:hAnsi="Times New Roman" w:cs="Times New Roman"/>
          <w:color w:val="auto"/>
          <w:lang w:val="en-US" w:eastAsia="zh-CN"/>
        </w:rPr>
        <w:t>.4</w:t>
      </w:r>
      <w:r>
        <w:rPr>
          <w:rFonts w:hint="default" w:ascii="Times New Roman" w:hAnsi="Times New Roman" w:cs="Times New Roman"/>
          <w:color w:val="auto"/>
        </w:rPr>
        <w:t>-3</w:t>
      </w:r>
      <w:r>
        <w:rPr>
          <w:rFonts w:hint="default" w:ascii="Times New Roman" w:hAnsi="Times New Roman" w:cs="Times New Roman"/>
          <w:color w:val="auto"/>
          <w:lang w:val="en-US" w:eastAsia="zh-CN"/>
        </w:rPr>
        <w:t xml:space="preserve"> 全程序空白分析结果</w:t>
      </w:r>
      <w:r>
        <w:rPr>
          <w:rFonts w:hint="default" w:ascii="Times New Roman" w:hAnsi="Times New Roman" w:cs="Times New Roman"/>
          <w:color w:val="auto"/>
          <w:lang w:eastAsia="zh-CN"/>
        </w:rPr>
        <w:t>表</w:t>
      </w:r>
    </w:p>
    <w:tbl>
      <w:tblPr>
        <w:tblStyle w:val="14"/>
        <w:tblW w:w="90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19"/>
        <w:gridCol w:w="1988"/>
        <w:gridCol w:w="2361"/>
        <w:gridCol w:w="1059"/>
        <w:gridCol w:w="2144"/>
      </w:tblGrid>
      <w:tr w14:paraId="0D5F4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505" w:type="dxa"/>
            <w:tcBorders>
              <w:top w:val="single" w:color="auto" w:sz="12" w:space="0"/>
              <w:left w:val="nil"/>
              <w:bottom w:val="single" w:color="000000" w:sz="4" w:space="0"/>
              <w:right w:val="single" w:color="000000" w:sz="4" w:space="0"/>
            </w:tcBorders>
            <w:shd w:val="clear" w:color="auto" w:fill="auto"/>
            <w:vAlign w:val="center"/>
          </w:tcPr>
          <w:p w14:paraId="6B1F1EA5">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类别</w:t>
            </w:r>
          </w:p>
        </w:tc>
        <w:tc>
          <w:tcPr>
            <w:tcW w:w="1970" w:type="dxa"/>
            <w:tcBorders>
              <w:top w:val="single" w:color="auto" w:sz="12" w:space="0"/>
              <w:left w:val="single" w:color="000000" w:sz="4" w:space="0"/>
              <w:bottom w:val="single" w:color="000000" w:sz="4" w:space="0"/>
              <w:right w:val="single" w:color="000000" w:sz="4" w:space="0"/>
            </w:tcBorders>
            <w:shd w:val="clear" w:color="auto" w:fill="auto"/>
            <w:vAlign w:val="center"/>
          </w:tcPr>
          <w:p w14:paraId="58521253">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检测项目</w:t>
            </w:r>
          </w:p>
        </w:tc>
        <w:tc>
          <w:tcPr>
            <w:tcW w:w="2340" w:type="dxa"/>
            <w:tcBorders>
              <w:top w:val="single" w:color="auto" w:sz="12" w:space="0"/>
              <w:left w:val="single" w:color="000000" w:sz="4" w:space="0"/>
              <w:bottom w:val="single" w:color="000000" w:sz="4" w:space="0"/>
              <w:right w:val="single" w:color="000000" w:sz="4" w:space="0"/>
            </w:tcBorders>
            <w:shd w:val="clear" w:color="auto" w:fill="auto"/>
            <w:vAlign w:val="center"/>
          </w:tcPr>
          <w:p w14:paraId="3BCE205B">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样品编号</w:t>
            </w:r>
          </w:p>
        </w:tc>
        <w:tc>
          <w:tcPr>
            <w:tcW w:w="1050" w:type="dxa"/>
            <w:tcBorders>
              <w:top w:val="single" w:color="auto" w:sz="12" w:space="0"/>
              <w:left w:val="single" w:color="000000" w:sz="4" w:space="0"/>
              <w:bottom w:val="single" w:color="000000" w:sz="4" w:space="0"/>
              <w:right w:val="single" w:color="000000" w:sz="4" w:space="0"/>
            </w:tcBorders>
            <w:shd w:val="clear" w:color="auto" w:fill="auto"/>
            <w:vAlign w:val="center"/>
          </w:tcPr>
          <w:p w14:paraId="20283416">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单位</w:t>
            </w:r>
          </w:p>
        </w:tc>
        <w:tc>
          <w:tcPr>
            <w:tcW w:w="2125" w:type="dxa"/>
            <w:tcBorders>
              <w:top w:val="single" w:color="auto" w:sz="12" w:space="0"/>
              <w:left w:val="single" w:color="000000" w:sz="4" w:space="0"/>
              <w:bottom w:val="single" w:color="000000" w:sz="4" w:space="0"/>
              <w:right w:val="nil"/>
            </w:tcBorders>
            <w:shd w:val="clear" w:color="auto" w:fill="auto"/>
            <w:vAlign w:val="center"/>
          </w:tcPr>
          <w:p w14:paraId="0536C84A">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检测结果</w:t>
            </w:r>
          </w:p>
        </w:tc>
      </w:tr>
      <w:tr w14:paraId="28077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505" w:type="dxa"/>
            <w:vMerge w:val="restart"/>
            <w:tcBorders>
              <w:top w:val="single" w:color="000000" w:sz="4" w:space="0"/>
              <w:left w:val="nil"/>
              <w:bottom w:val="single" w:color="000000" w:sz="4" w:space="0"/>
              <w:right w:val="single" w:color="000000" w:sz="4" w:space="0"/>
            </w:tcBorders>
            <w:shd w:val="clear" w:color="auto" w:fill="auto"/>
            <w:vAlign w:val="center"/>
          </w:tcPr>
          <w:p w14:paraId="1243CA8B">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固定源废气</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8DDD7">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颗粒物</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08B3A">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ZK24082852H01-00-1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FF70">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mg/m³</w:t>
            </w:r>
          </w:p>
        </w:tc>
        <w:tc>
          <w:tcPr>
            <w:tcW w:w="2125" w:type="dxa"/>
            <w:tcBorders>
              <w:top w:val="single" w:color="000000" w:sz="4" w:space="0"/>
              <w:left w:val="single" w:color="000000" w:sz="4" w:space="0"/>
              <w:bottom w:val="single" w:color="000000" w:sz="4" w:space="0"/>
              <w:right w:val="nil"/>
            </w:tcBorders>
            <w:shd w:val="clear" w:color="auto" w:fill="auto"/>
            <w:vAlign w:val="center"/>
          </w:tcPr>
          <w:p w14:paraId="38D90BA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1.0L</w:t>
            </w:r>
          </w:p>
        </w:tc>
      </w:tr>
      <w:tr w14:paraId="424D3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505" w:type="dxa"/>
            <w:vMerge w:val="continue"/>
            <w:tcBorders>
              <w:top w:val="single" w:color="000000" w:sz="4" w:space="0"/>
              <w:left w:val="nil"/>
              <w:bottom w:val="single" w:color="000000" w:sz="4" w:space="0"/>
              <w:right w:val="single" w:color="000000" w:sz="4" w:space="0"/>
            </w:tcBorders>
            <w:shd w:val="clear" w:color="auto" w:fill="auto"/>
            <w:vAlign w:val="center"/>
          </w:tcPr>
          <w:p w14:paraId="2AD14CB5">
            <w:pPr>
              <w:pStyle w:val="23"/>
              <w:bidi w:val="0"/>
              <w:rPr>
                <w:rFonts w:hint="default" w:ascii="Times New Roman" w:hAnsi="Times New Roman" w:cs="Times New Roman"/>
                <w:color w:val="auto"/>
              </w:rPr>
            </w:pP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4BB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颗粒物</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4DCAA">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ZK24082852H01-00-3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2ACD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mg/m³</w:t>
            </w:r>
          </w:p>
        </w:tc>
        <w:tc>
          <w:tcPr>
            <w:tcW w:w="2125" w:type="dxa"/>
            <w:tcBorders>
              <w:top w:val="single" w:color="000000" w:sz="4" w:space="0"/>
              <w:left w:val="single" w:color="000000" w:sz="4" w:space="0"/>
              <w:bottom w:val="single" w:color="000000" w:sz="4" w:space="0"/>
              <w:right w:val="nil"/>
            </w:tcBorders>
            <w:shd w:val="clear" w:color="auto" w:fill="auto"/>
            <w:vAlign w:val="center"/>
          </w:tcPr>
          <w:p w14:paraId="7F1AD83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1.0L</w:t>
            </w:r>
          </w:p>
        </w:tc>
      </w:tr>
      <w:tr w14:paraId="380DC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505" w:type="dxa"/>
            <w:vMerge w:val="restart"/>
            <w:tcBorders>
              <w:top w:val="single" w:color="000000" w:sz="4" w:space="0"/>
              <w:left w:val="nil"/>
              <w:bottom w:val="single" w:color="000000" w:sz="4" w:space="0"/>
              <w:right w:val="single" w:color="000000" w:sz="4" w:space="0"/>
            </w:tcBorders>
            <w:shd w:val="clear" w:color="auto" w:fill="auto"/>
            <w:vAlign w:val="center"/>
          </w:tcPr>
          <w:p w14:paraId="76941926">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无组织废气</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A327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颗粒物</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9736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ZK24082852H01-00-2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F1B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mg/m³</w:t>
            </w:r>
          </w:p>
        </w:tc>
        <w:tc>
          <w:tcPr>
            <w:tcW w:w="2125" w:type="dxa"/>
            <w:tcBorders>
              <w:top w:val="single" w:color="000000" w:sz="4" w:space="0"/>
              <w:left w:val="single" w:color="000000" w:sz="4" w:space="0"/>
              <w:bottom w:val="single" w:color="000000" w:sz="4" w:space="0"/>
              <w:right w:val="nil"/>
            </w:tcBorders>
            <w:shd w:val="clear" w:color="auto" w:fill="auto"/>
            <w:vAlign w:val="center"/>
          </w:tcPr>
          <w:p w14:paraId="17FCED54">
            <w:pPr>
              <w:pStyle w:val="23"/>
              <w:bidi w:val="0"/>
              <w:rPr>
                <w:rFonts w:hint="default"/>
                <w:color w:val="auto"/>
              </w:rPr>
            </w:pPr>
            <w:r>
              <w:rPr>
                <w:color w:val="auto"/>
                <w:lang w:val="en-US" w:eastAsia="zh-CN"/>
              </w:rPr>
              <w:t>0.168L</w:t>
            </w:r>
          </w:p>
        </w:tc>
      </w:tr>
      <w:tr w14:paraId="6F78D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05" w:type="dxa"/>
            <w:vMerge w:val="continue"/>
            <w:tcBorders>
              <w:top w:val="single" w:color="000000" w:sz="4" w:space="0"/>
              <w:left w:val="nil"/>
              <w:bottom w:val="single" w:color="000000" w:sz="4" w:space="0"/>
              <w:right w:val="single" w:color="000000" w:sz="4" w:space="0"/>
            </w:tcBorders>
            <w:shd w:val="clear" w:color="auto" w:fill="auto"/>
            <w:vAlign w:val="center"/>
          </w:tcPr>
          <w:p w14:paraId="601B75D1">
            <w:pPr>
              <w:pStyle w:val="23"/>
              <w:bidi w:val="0"/>
              <w:rPr>
                <w:rFonts w:hint="default" w:ascii="Times New Roman" w:hAnsi="Times New Roman" w:cs="Times New Roman"/>
                <w:color w:val="auto"/>
              </w:rPr>
            </w:pP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84FAD">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颗粒物</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24210">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ZK24082852H01-00-4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C544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mg/m³</w:t>
            </w:r>
          </w:p>
        </w:tc>
        <w:tc>
          <w:tcPr>
            <w:tcW w:w="2125" w:type="dxa"/>
            <w:tcBorders>
              <w:top w:val="single" w:color="000000" w:sz="4" w:space="0"/>
              <w:left w:val="single" w:color="000000" w:sz="4" w:space="0"/>
              <w:bottom w:val="single" w:color="000000" w:sz="4" w:space="0"/>
              <w:right w:val="nil"/>
            </w:tcBorders>
            <w:shd w:val="clear" w:color="auto" w:fill="auto"/>
            <w:vAlign w:val="center"/>
          </w:tcPr>
          <w:p w14:paraId="7E247199">
            <w:pPr>
              <w:pStyle w:val="23"/>
              <w:bidi w:val="0"/>
              <w:rPr>
                <w:rFonts w:hint="default"/>
                <w:color w:val="auto"/>
              </w:rPr>
            </w:pPr>
            <w:r>
              <w:rPr>
                <w:color w:val="auto"/>
                <w:lang w:val="en-US" w:eastAsia="zh-CN"/>
              </w:rPr>
              <w:t>0.168L</w:t>
            </w:r>
          </w:p>
        </w:tc>
      </w:tr>
      <w:tr w14:paraId="4EA7A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505" w:type="dxa"/>
            <w:tcBorders>
              <w:top w:val="single" w:color="000000" w:sz="4" w:space="0"/>
              <w:left w:val="nil"/>
              <w:bottom w:val="single" w:color="auto" w:sz="12" w:space="0"/>
              <w:right w:val="single" w:color="000000" w:sz="4" w:space="0"/>
            </w:tcBorders>
            <w:shd w:val="clear" w:color="auto" w:fill="auto"/>
            <w:vAlign w:val="center"/>
          </w:tcPr>
          <w:p w14:paraId="2D9AB456">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备注</w:t>
            </w:r>
          </w:p>
        </w:tc>
        <w:tc>
          <w:tcPr>
            <w:tcW w:w="7485" w:type="dxa"/>
            <w:gridSpan w:val="4"/>
            <w:tcBorders>
              <w:top w:val="single" w:color="000000" w:sz="4" w:space="0"/>
              <w:left w:val="single" w:color="000000" w:sz="4" w:space="0"/>
              <w:bottom w:val="single" w:color="auto" w:sz="12" w:space="0"/>
              <w:right w:val="nil"/>
            </w:tcBorders>
            <w:shd w:val="clear" w:color="auto" w:fill="auto"/>
            <w:vAlign w:val="center"/>
          </w:tcPr>
          <w:p w14:paraId="2083B4C7">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表中检测数据后面</w:t>
            </w:r>
            <w:r>
              <w:rPr>
                <w:rFonts w:hint="eastAsia" w:cs="Times New Roman"/>
                <w:color w:val="auto"/>
                <w:lang w:val="en-US" w:eastAsia="zh-CN"/>
              </w:rPr>
              <w:t>“</w:t>
            </w:r>
            <w:r>
              <w:rPr>
                <w:rFonts w:hint="default" w:ascii="Times New Roman" w:hAnsi="Times New Roman" w:cs="Times New Roman"/>
                <w:color w:val="auto"/>
                <w:lang w:val="en-US" w:eastAsia="zh-CN"/>
              </w:rPr>
              <w:t>L</w:t>
            </w:r>
            <w:r>
              <w:rPr>
                <w:rFonts w:hint="eastAsia" w:cs="Times New Roman"/>
                <w:color w:val="auto"/>
                <w:lang w:val="en-US" w:eastAsia="zh-CN"/>
              </w:rPr>
              <w:t>”</w:t>
            </w:r>
            <w:r>
              <w:rPr>
                <w:rFonts w:hint="default" w:ascii="Times New Roman" w:hAnsi="Times New Roman" w:cs="Times New Roman"/>
                <w:color w:val="auto"/>
                <w:lang w:val="en-US" w:eastAsia="zh-CN"/>
              </w:rPr>
              <w:t>表示检测结果低于方法检出限。</w:t>
            </w:r>
          </w:p>
        </w:tc>
      </w:tr>
    </w:tbl>
    <w:p w14:paraId="15401331">
      <w:pPr>
        <w:pStyle w:val="4"/>
        <w:bidi w:val="0"/>
        <w:rPr>
          <w:rFonts w:hint="default"/>
          <w:color w:val="auto"/>
        </w:rPr>
      </w:pPr>
      <w:bookmarkStart w:id="62" w:name="_Toc20815"/>
      <w:r>
        <w:rPr>
          <w:rFonts w:hint="default"/>
          <w:color w:val="auto"/>
        </w:rPr>
        <w:t>8.4.2噪声监测分析过程中的质量保证和质量控制</w:t>
      </w:r>
      <w:bookmarkEnd w:id="62"/>
    </w:p>
    <w:p w14:paraId="4EBA3AC1">
      <w:pPr>
        <w:bidi w:val="0"/>
        <w:rPr>
          <w:rFonts w:hint="default" w:ascii="Times New Roman" w:hAnsi="Times New Roman" w:cs="Times New Roman"/>
          <w:color w:val="auto"/>
        </w:rPr>
      </w:pPr>
      <w:r>
        <w:rPr>
          <w:rFonts w:hint="default" w:ascii="Times New Roman" w:hAnsi="Times New Roman" w:cs="Times New Roman"/>
          <w:color w:val="auto"/>
        </w:rPr>
        <w:t>噪声采集全过程均按《工业企业厂界环境噪声排放标准》（GB12348-2008）等环境监测 技术规范相关章节要求进行。声级计在测试前后用标准发生源进行校准，测量前后仪器的灵敏度相差不大于0.5dB。声级计校准</w:t>
      </w:r>
      <w:r>
        <w:rPr>
          <w:rFonts w:hint="default" w:ascii="Times New Roman" w:hAnsi="Times New Roman" w:cs="Times New Roman"/>
          <w:color w:val="auto"/>
          <w:lang w:val="en-US" w:eastAsia="zh-CN"/>
        </w:rPr>
        <w:t>结果详</w:t>
      </w:r>
      <w:r>
        <w:rPr>
          <w:rFonts w:hint="default" w:ascii="Times New Roman" w:hAnsi="Times New Roman" w:cs="Times New Roman"/>
          <w:color w:val="auto"/>
        </w:rPr>
        <w:t>见表8</w:t>
      </w:r>
      <w:r>
        <w:rPr>
          <w:rFonts w:hint="default" w:ascii="Times New Roman" w:hAnsi="Times New Roman"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4</w:t>
      </w:r>
      <w:r>
        <w:rPr>
          <w:rFonts w:hint="default" w:ascii="Times New Roman" w:hAnsi="Times New Roman" w:cs="Times New Roman"/>
          <w:color w:val="auto"/>
        </w:rPr>
        <w:t>。</w:t>
      </w:r>
    </w:p>
    <w:p w14:paraId="77CBF4C9">
      <w:pPr>
        <w:pStyle w:val="21"/>
        <w:bidi w:val="0"/>
        <w:rPr>
          <w:rFonts w:hint="default"/>
          <w:color w:val="auto"/>
          <w:lang w:val="en-US" w:eastAsia="zh-CN"/>
        </w:rPr>
      </w:pPr>
      <w:r>
        <w:rPr>
          <w:rFonts w:hint="default"/>
          <w:color w:val="auto"/>
        </w:rPr>
        <w:t>表8</w:t>
      </w:r>
      <w:r>
        <w:rPr>
          <w:rFonts w:hint="default"/>
          <w:color w:val="auto"/>
          <w:lang w:val="en-US" w:eastAsia="zh-CN"/>
        </w:rPr>
        <w:t>.4</w:t>
      </w:r>
      <w:r>
        <w:rPr>
          <w:rFonts w:hint="default"/>
          <w:color w:val="auto"/>
        </w:rPr>
        <w:t>-</w:t>
      </w:r>
      <w:r>
        <w:rPr>
          <w:rFonts w:hint="default"/>
          <w:color w:val="auto"/>
          <w:lang w:val="en-US" w:eastAsia="zh-CN"/>
        </w:rPr>
        <w:t>4</w:t>
      </w:r>
      <w:r>
        <w:rPr>
          <w:rFonts w:hint="default"/>
          <w:color w:val="auto"/>
        </w:rPr>
        <w:t xml:space="preserve"> 声级计校准质</w:t>
      </w:r>
      <w:r>
        <w:rPr>
          <w:rFonts w:hint="default"/>
          <w:color w:val="auto"/>
          <w:lang w:val="en-US" w:eastAsia="zh-CN"/>
        </w:rPr>
        <w:t>结果一览表</w:t>
      </w:r>
    </w:p>
    <w:tbl>
      <w:tblPr>
        <w:tblStyle w:val="20"/>
        <w:tblW w:w="9071" w:type="dxa"/>
        <w:jc w:val="center"/>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500"/>
        <w:gridCol w:w="2239"/>
        <w:gridCol w:w="2365"/>
        <w:gridCol w:w="1967"/>
      </w:tblGrid>
      <w:tr w14:paraId="72FF921C">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748" w:type="dxa"/>
            <w:vMerge w:val="restart"/>
            <w:tcBorders>
              <w:left w:val="nil"/>
              <w:bottom w:val="nil"/>
            </w:tcBorders>
            <w:vAlign w:val="center"/>
          </w:tcPr>
          <w:p w14:paraId="3CD861FB">
            <w:pPr>
              <w:pStyle w:val="23"/>
              <w:bidi w:val="0"/>
              <w:rPr>
                <w:rFonts w:hint="default" w:ascii="Times New Roman" w:hAnsi="Times New Roman" w:cs="Times New Roman"/>
                <w:color w:val="auto"/>
              </w:rPr>
            </w:pPr>
            <w:r>
              <w:rPr>
                <w:rFonts w:hint="default" w:ascii="Times New Roman" w:hAnsi="Times New Roman" w:cs="Times New Roman"/>
                <w:color w:val="auto"/>
              </w:rPr>
              <w:t>测量时间</w:t>
            </w:r>
          </w:p>
        </w:tc>
        <w:tc>
          <w:tcPr>
            <w:tcW w:w="5061" w:type="dxa"/>
            <w:gridSpan w:val="2"/>
            <w:vAlign w:val="center"/>
          </w:tcPr>
          <w:p w14:paraId="2BA5F7D9">
            <w:pPr>
              <w:pStyle w:val="23"/>
              <w:bidi w:val="0"/>
              <w:rPr>
                <w:rFonts w:hint="default" w:ascii="Times New Roman" w:hAnsi="Times New Roman" w:cs="Times New Roman"/>
                <w:color w:val="auto"/>
              </w:rPr>
            </w:pPr>
            <w:r>
              <w:rPr>
                <w:rFonts w:hint="default" w:ascii="Times New Roman" w:hAnsi="Times New Roman" w:cs="Times New Roman"/>
                <w:color w:val="auto"/>
              </w:rPr>
              <w:t>校准声级（dB）</w:t>
            </w:r>
          </w:p>
        </w:tc>
        <w:tc>
          <w:tcPr>
            <w:tcW w:w="2162" w:type="dxa"/>
            <w:vMerge w:val="restart"/>
            <w:tcBorders>
              <w:bottom w:val="nil"/>
              <w:right w:val="nil"/>
            </w:tcBorders>
            <w:vAlign w:val="center"/>
          </w:tcPr>
          <w:p w14:paraId="1CBA50ED">
            <w:pPr>
              <w:pStyle w:val="23"/>
              <w:bidi w:val="0"/>
              <w:rPr>
                <w:rFonts w:hint="default" w:ascii="Times New Roman" w:hAnsi="Times New Roman" w:cs="Times New Roman"/>
                <w:color w:val="auto"/>
              </w:rPr>
            </w:pPr>
            <w:r>
              <w:rPr>
                <w:rFonts w:hint="default" w:ascii="Times New Roman" w:hAnsi="Times New Roman" w:cs="Times New Roman"/>
                <w:color w:val="auto"/>
              </w:rPr>
              <w:t>结果评价</w:t>
            </w:r>
          </w:p>
        </w:tc>
      </w:tr>
      <w:tr w14:paraId="3811504B">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748" w:type="dxa"/>
            <w:vMerge w:val="continue"/>
            <w:tcBorders>
              <w:top w:val="nil"/>
              <w:left w:val="nil"/>
            </w:tcBorders>
            <w:vAlign w:val="center"/>
          </w:tcPr>
          <w:p w14:paraId="3D40D6CD">
            <w:pPr>
              <w:pStyle w:val="23"/>
              <w:bidi w:val="0"/>
              <w:rPr>
                <w:rFonts w:hint="default" w:ascii="Times New Roman" w:hAnsi="Times New Roman" w:cs="Times New Roman"/>
                <w:color w:val="auto"/>
              </w:rPr>
            </w:pPr>
          </w:p>
        </w:tc>
        <w:tc>
          <w:tcPr>
            <w:tcW w:w="2461" w:type="dxa"/>
            <w:vAlign w:val="center"/>
          </w:tcPr>
          <w:p w14:paraId="3B5707EC">
            <w:pPr>
              <w:pStyle w:val="23"/>
              <w:bidi w:val="0"/>
              <w:rPr>
                <w:rFonts w:hint="default" w:ascii="Times New Roman" w:hAnsi="Times New Roman" w:cs="Times New Roman"/>
                <w:color w:val="auto"/>
              </w:rPr>
            </w:pPr>
            <w:r>
              <w:rPr>
                <w:rFonts w:hint="default" w:ascii="Times New Roman" w:hAnsi="Times New Roman" w:cs="Times New Roman"/>
                <w:color w:val="auto"/>
              </w:rPr>
              <w:t>测量前</w:t>
            </w:r>
          </w:p>
        </w:tc>
        <w:tc>
          <w:tcPr>
            <w:tcW w:w="2600" w:type="dxa"/>
            <w:vAlign w:val="center"/>
          </w:tcPr>
          <w:p w14:paraId="17949690">
            <w:pPr>
              <w:pStyle w:val="23"/>
              <w:bidi w:val="0"/>
              <w:rPr>
                <w:rFonts w:hint="default" w:ascii="Times New Roman" w:hAnsi="Times New Roman" w:cs="Times New Roman"/>
                <w:color w:val="auto"/>
              </w:rPr>
            </w:pPr>
            <w:r>
              <w:rPr>
                <w:rFonts w:hint="default" w:ascii="Times New Roman" w:hAnsi="Times New Roman" w:cs="Times New Roman"/>
                <w:color w:val="auto"/>
              </w:rPr>
              <w:t>测量后</w:t>
            </w:r>
          </w:p>
        </w:tc>
        <w:tc>
          <w:tcPr>
            <w:tcW w:w="2162" w:type="dxa"/>
            <w:vMerge w:val="continue"/>
            <w:tcBorders>
              <w:top w:val="nil"/>
              <w:right w:val="nil"/>
            </w:tcBorders>
            <w:vAlign w:val="center"/>
          </w:tcPr>
          <w:p w14:paraId="453C39EC">
            <w:pPr>
              <w:pStyle w:val="23"/>
              <w:bidi w:val="0"/>
              <w:rPr>
                <w:rFonts w:hint="default" w:ascii="Times New Roman" w:hAnsi="Times New Roman" w:cs="Times New Roman"/>
                <w:color w:val="auto"/>
              </w:rPr>
            </w:pPr>
          </w:p>
        </w:tc>
      </w:tr>
      <w:tr w14:paraId="067A9A9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748" w:type="dxa"/>
            <w:tcBorders>
              <w:left w:val="nil"/>
            </w:tcBorders>
            <w:vAlign w:val="center"/>
          </w:tcPr>
          <w:p w14:paraId="4F563284">
            <w:pPr>
              <w:pStyle w:val="23"/>
              <w:bidi w:val="0"/>
              <w:rPr>
                <w:rFonts w:hint="default" w:ascii="Times New Roman" w:hAnsi="Times New Roman" w:cs="Times New Roman"/>
                <w:color w:val="auto"/>
              </w:rPr>
            </w:pPr>
            <w:r>
              <w:rPr>
                <w:rFonts w:hint="default" w:ascii="Times New Roman" w:hAnsi="Times New Roman" w:cs="Times New Roman"/>
                <w:color w:val="auto"/>
              </w:rPr>
              <w:t>20</w:t>
            </w:r>
            <w:r>
              <w:rPr>
                <w:rFonts w:hint="default" w:ascii="Times New Roman" w:hAnsi="Times New Roman" w:cs="Times New Roman"/>
                <w:color w:val="auto"/>
                <w:lang w:val="en-US" w:eastAsia="zh-CN"/>
              </w:rPr>
              <w:t>24</w:t>
            </w:r>
            <w:r>
              <w:rPr>
                <w:rFonts w:hint="default" w:ascii="Times New Roman" w:hAnsi="Times New Roman" w:cs="Times New Roman"/>
                <w:color w:val="auto"/>
              </w:rPr>
              <w:t>年</w:t>
            </w:r>
            <w:r>
              <w:rPr>
                <w:rFonts w:hint="default" w:ascii="Times New Roman" w:hAnsi="Times New Roman" w:cs="Times New Roman"/>
                <w:color w:val="auto"/>
                <w:lang w:val="en-US" w:eastAsia="zh-CN"/>
              </w:rPr>
              <w:t>9</w:t>
            </w:r>
            <w:r>
              <w:rPr>
                <w:rFonts w:hint="default" w:ascii="Times New Roman" w:hAnsi="Times New Roman" w:cs="Times New Roman"/>
                <w:color w:val="auto"/>
              </w:rPr>
              <w:t>月</w:t>
            </w:r>
            <w:r>
              <w:rPr>
                <w:rFonts w:hint="default" w:ascii="Times New Roman" w:hAnsi="Times New Roman" w:cs="Times New Roman"/>
                <w:color w:val="auto"/>
                <w:lang w:val="en-US" w:eastAsia="zh-CN"/>
              </w:rPr>
              <w:t>4</w:t>
            </w:r>
            <w:r>
              <w:rPr>
                <w:rFonts w:hint="default" w:ascii="Times New Roman" w:hAnsi="Times New Roman" w:cs="Times New Roman"/>
                <w:color w:val="auto"/>
              </w:rPr>
              <w:t>日</w:t>
            </w:r>
          </w:p>
        </w:tc>
        <w:tc>
          <w:tcPr>
            <w:tcW w:w="2461" w:type="dxa"/>
            <w:vAlign w:val="center"/>
          </w:tcPr>
          <w:p w14:paraId="2F55305D">
            <w:pPr>
              <w:pStyle w:val="23"/>
              <w:bidi w:val="0"/>
              <w:rPr>
                <w:rFonts w:hint="default" w:ascii="Times New Roman" w:hAnsi="Times New Roman" w:cs="Times New Roman"/>
                <w:color w:val="auto"/>
              </w:rPr>
            </w:pPr>
            <w:r>
              <w:rPr>
                <w:rFonts w:hint="default" w:ascii="Times New Roman" w:hAnsi="Times New Roman" w:cs="Times New Roman"/>
                <w:color w:val="auto"/>
              </w:rPr>
              <w:t>93.8</w:t>
            </w:r>
          </w:p>
        </w:tc>
        <w:tc>
          <w:tcPr>
            <w:tcW w:w="2600" w:type="dxa"/>
            <w:vAlign w:val="center"/>
          </w:tcPr>
          <w:p w14:paraId="3E998B6D">
            <w:pPr>
              <w:pStyle w:val="23"/>
              <w:bidi w:val="0"/>
              <w:rPr>
                <w:rFonts w:hint="default" w:ascii="Times New Roman" w:hAnsi="Times New Roman" w:cs="Times New Roman"/>
                <w:color w:val="auto"/>
              </w:rPr>
            </w:pPr>
            <w:r>
              <w:rPr>
                <w:rFonts w:hint="default" w:ascii="Times New Roman" w:hAnsi="Times New Roman" w:cs="Times New Roman"/>
                <w:color w:val="auto"/>
              </w:rPr>
              <w:t>93.8</w:t>
            </w:r>
          </w:p>
        </w:tc>
        <w:tc>
          <w:tcPr>
            <w:tcW w:w="2162" w:type="dxa"/>
            <w:tcBorders>
              <w:right w:val="nil"/>
            </w:tcBorders>
            <w:vAlign w:val="center"/>
          </w:tcPr>
          <w:p w14:paraId="27EE5D88">
            <w:pPr>
              <w:pStyle w:val="23"/>
              <w:bidi w:val="0"/>
              <w:rPr>
                <w:rFonts w:hint="default" w:ascii="Times New Roman" w:hAnsi="Times New Roman" w:cs="Times New Roman"/>
                <w:color w:val="auto"/>
              </w:rPr>
            </w:pPr>
            <w:r>
              <w:rPr>
                <w:rFonts w:hint="default" w:ascii="Times New Roman" w:hAnsi="Times New Roman" w:cs="Times New Roman"/>
                <w:color w:val="auto"/>
              </w:rPr>
              <w:t>合格</w:t>
            </w:r>
          </w:p>
        </w:tc>
      </w:tr>
      <w:tr w14:paraId="4A63615D">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748" w:type="dxa"/>
            <w:tcBorders>
              <w:left w:val="nil"/>
            </w:tcBorders>
            <w:vAlign w:val="center"/>
          </w:tcPr>
          <w:p w14:paraId="65E5340B">
            <w:pPr>
              <w:pStyle w:val="23"/>
              <w:bidi w:val="0"/>
              <w:rPr>
                <w:rFonts w:hint="default" w:ascii="Times New Roman" w:hAnsi="Times New Roman" w:cs="Times New Roman"/>
                <w:color w:val="auto"/>
              </w:rPr>
            </w:pPr>
            <w:r>
              <w:rPr>
                <w:rFonts w:hint="default" w:ascii="Times New Roman" w:hAnsi="Times New Roman" w:cs="Times New Roman"/>
                <w:color w:val="auto"/>
              </w:rPr>
              <w:t>20</w:t>
            </w:r>
            <w:r>
              <w:rPr>
                <w:rFonts w:hint="default" w:ascii="Times New Roman" w:hAnsi="Times New Roman" w:cs="Times New Roman"/>
                <w:color w:val="auto"/>
                <w:lang w:val="en-US" w:eastAsia="zh-CN"/>
              </w:rPr>
              <w:t>24</w:t>
            </w:r>
            <w:r>
              <w:rPr>
                <w:rFonts w:hint="default" w:ascii="Times New Roman" w:hAnsi="Times New Roman" w:cs="Times New Roman"/>
                <w:color w:val="auto"/>
              </w:rPr>
              <w:t>年</w:t>
            </w:r>
            <w:r>
              <w:rPr>
                <w:rFonts w:hint="default" w:ascii="Times New Roman" w:hAnsi="Times New Roman" w:cs="Times New Roman"/>
                <w:color w:val="auto"/>
                <w:lang w:val="en-US" w:eastAsia="zh-CN"/>
              </w:rPr>
              <w:t>9</w:t>
            </w:r>
            <w:r>
              <w:rPr>
                <w:rFonts w:hint="default" w:ascii="Times New Roman" w:hAnsi="Times New Roman" w:cs="Times New Roman"/>
                <w:color w:val="auto"/>
              </w:rPr>
              <w:t>月</w:t>
            </w:r>
            <w:r>
              <w:rPr>
                <w:rFonts w:hint="default" w:ascii="Times New Roman" w:hAnsi="Times New Roman" w:cs="Times New Roman"/>
                <w:color w:val="auto"/>
                <w:lang w:val="en-US" w:eastAsia="zh-CN"/>
              </w:rPr>
              <w:t>5</w:t>
            </w:r>
            <w:r>
              <w:rPr>
                <w:rFonts w:hint="default" w:ascii="Times New Roman" w:hAnsi="Times New Roman" w:cs="Times New Roman"/>
                <w:color w:val="auto"/>
              </w:rPr>
              <w:t>日</w:t>
            </w:r>
          </w:p>
        </w:tc>
        <w:tc>
          <w:tcPr>
            <w:tcW w:w="2461" w:type="dxa"/>
            <w:vAlign w:val="center"/>
          </w:tcPr>
          <w:p w14:paraId="73FC9DC3">
            <w:pPr>
              <w:pStyle w:val="23"/>
              <w:bidi w:val="0"/>
              <w:rPr>
                <w:rFonts w:hint="default" w:ascii="Times New Roman" w:hAnsi="Times New Roman" w:cs="Times New Roman"/>
                <w:color w:val="auto"/>
              </w:rPr>
            </w:pPr>
            <w:r>
              <w:rPr>
                <w:rFonts w:hint="default" w:ascii="Times New Roman" w:hAnsi="Times New Roman" w:cs="Times New Roman"/>
                <w:color w:val="auto"/>
              </w:rPr>
              <w:t>93.8</w:t>
            </w:r>
          </w:p>
        </w:tc>
        <w:tc>
          <w:tcPr>
            <w:tcW w:w="2600" w:type="dxa"/>
            <w:vAlign w:val="center"/>
          </w:tcPr>
          <w:p w14:paraId="2C66933A">
            <w:pPr>
              <w:pStyle w:val="23"/>
              <w:bidi w:val="0"/>
              <w:rPr>
                <w:rFonts w:hint="default" w:ascii="Times New Roman" w:hAnsi="Times New Roman" w:cs="Times New Roman"/>
                <w:color w:val="auto"/>
              </w:rPr>
            </w:pPr>
            <w:r>
              <w:rPr>
                <w:rFonts w:hint="default" w:ascii="Times New Roman" w:hAnsi="Times New Roman" w:cs="Times New Roman"/>
                <w:color w:val="auto"/>
              </w:rPr>
              <w:t>93.8</w:t>
            </w:r>
          </w:p>
        </w:tc>
        <w:tc>
          <w:tcPr>
            <w:tcW w:w="2162" w:type="dxa"/>
            <w:tcBorders>
              <w:right w:val="nil"/>
            </w:tcBorders>
            <w:vAlign w:val="center"/>
          </w:tcPr>
          <w:p w14:paraId="3486FA6E">
            <w:pPr>
              <w:pStyle w:val="23"/>
              <w:bidi w:val="0"/>
              <w:rPr>
                <w:rFonts w:hint="default" w:ascii="Times New Roman" w:hAnsi="Times New Roman" w:cs="Times New Roman"/>
                <w:color w:val="auto"/>
              </w:rPr>
            </w:pPr>
            <w:r>
              <w:rPr>
                <w:rFonts w:hint="default" w:ascii="Times New Roman" w:hAnsi="Times New Roman" w:cs="Times New Roman"/>
                <w:color w:val="auto"/>
              </w:rPr>
              <w:t>合格</w:t>
            </w:r>
          </w:p>
        </w:tc>
      </w:tr>
    </w:tbl>
    <w:p w14:paraId="03D123BA">
      <w:pPr>
        <w:pStyle w:val="2"/>
        <w:bidi w:val="0"/>
        <w:rPr>
          <w:rFonts w:hint="default" w:ascii="Times New Roman" w:hAnsi="Times New Roman" w:cs="Times New Roman"/>
          <w:color w:val="auto"/>
        </w:rPr>
      </w:pPr>
      <w:bookmarkStart w:id="63" w:name="_Toc25740"/>
      <w:r>
        <w:rPr>
          <w:rFonts w:hint="default" w:ascii="Times New Roman" w:hAnsi="Times New Roman" w:cs="Times New Roman"/>
          <w:color w:val="auto"/>
        </w:rPr>
        <w:t>9验收监测结果</w:t>
      </w:r>
      <w:bookmarkEnd w:id="63"/>
    </w:p>
    <w:p w14:paraId="0D1CA5E2">
      <w:pPr>
        <w:pStyle w:val="3"/>
        <w:bidi w:val="0"/>
        <w:rPr>
          <w:rFonts w:hint="default" w:ascii="Times New Roman" w:hAnsi="Times New Roman" w:cs="Times New Roman"/>
          <w:color w:val="auto"/>
        </w:rPr>
      </w:pPr>
      <w:bookmarkStart w:id="64" w:name="_Toc20345"/>
      <w:r>
        <w:rPr>
          <w:rFonts w:hint="default" w:ascii="Times New Roman" w:hAnsi="Times New Roman" w:cs="Times New Roman"/>
          <w:color w:val="auto"/>
        </w:rPr>
        <w:t>9.1生产工况</w:t>
      </w:r>
      <w:bookmarkEnd w:id="64"/>
    </w:p>
    <w:p w14:paraId="56283C78">
      <w:pPr>
        <w:bidi w:val="0"/>
        <w:rPr>
          <w:rFonts w:hint="default" w:ascii="Times New Roman" w:hAnsi="Times New Roman" w:cs="Times New Roman"/>
          <w:color w:val="auto"/>
        </w:rPr>
      </w:pPr>
      <w:r>
        <w:rPr>
          <w:rFonts w:hint="default" w:ascii="Times New Roman" w:hAnsi="Times New Roman" w:cs="Times New Roman"/>
          <w:color w:val="auto"/>
        </w:rPr>
        <w:t>根据建设单位提供的资料，本次竣工环境保护验收监测时间为</w:t>
      </w:r>
      <w:r>
        <w:rPr>
          <w:rFonts w:hint="default" w:ascii="Times New Roman" w:hAnsi="Times New Roman" w:cs="Times New Roman"/>
          <w:color w:val="auto"/>
          <w:lang w:val="en-US" w:eastAsia="zh-CN"/>
        </w:rPr>
        <w:t>2024</w:t>
      </w:r>
      <w:r>
        <w:rPr>
          <w:rFonts w:hint="default" w:ascii="Times New Roman" w:hAnsi="Times New Roman" w:cs="Times New Roman"/>
          <w:color w:val="auto"/>
        </w:rPr>
        <w:t>年</w:t>
      </w:r>
      <w:r>
        <w:rPr>
          <w:rFonts w:hint="default" w:ascii="Times New Roman" w:hAnsi="Times New Roman" w:cs="Times New Roman"/>
          <w:color w:val="auto"/>
          <w:lang w:val="en-US" w:eastAsia="zh-CN"/>
        </w:rPr>
        <w:t>9</w:t>
      </w:r>
      <w:r>
        <w:rPr>
          <w:rFonts w:hint="default" w:ascii="Times New Roman" w:hAnsi="Times New Roman" w:cs="Times New Roman"/>
          <w:color w:val="auto"/>
        </w:rPr>
        <w:t>月</w:t>
      </w:r>
      <w:r>
        <w:rPr>
          <w:rFonts w:hint="default" w:ascii="Times New Roman" w:hAnsi="Times New Roman" w:cs="Times New Roman"/>
          <w:color w:val="auto"/>
          <w:lang w:val="en-US" w:eastAsia="zh-CN"/>
        </w:rPr>
        <w:t>4</w:t>
      </w:r>
      <w:r>
        <w:rPr>
          <w:rFonts w:hint="default" w:ascii="Times New Roman" w:hAnsi="Times New Roman" w:cs="Times New Roman"/>
          <w:color w:val="auto"/>
        </w:rPr>
        <w:t>日</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5</w:t>
      </w:r>
      <w:r>
        <w:rPr>
          <w:rFonts w:hint="default" w:ascii="Times New Roman" w:hAnsi="Times New Roman" w:cs="Times New Roman"/>
          <w:color w:val="auto"/>
        </w:rPr>
        <w:t>日</w:t>
      </w:r>
      <w:r>
        <w:rPr>
          <w:rFonts w:hint="eastAsia" w:cs="Times New Roman"/>
          <w:color w:val="auto"/>
          <w:lang w:eastAsia="zh-CN"/>
        </w:rPr>
        <w:t>，</w:t>
      </w:r>
      <w:r>
        <w:rPr>
          <w:rFonts w:hint="default" w:ascii="Times New Roman" w:hAnsi="Times New Roman" w:cs="Times New Roman"/>
          <w:color w:val="auto"/>
          <w:lang w:val="en-US" w:eastAsia="zh-CN"/>
        </w:rPr>
        <w:t>2024</w:t>
      </w:r>
      <w:r>
        <w:rPr>
          <w:rFonts w:hint="default" w:ascii="Times New Roman" w:hAnsi="Times New Roman" w:cs="Times New Roman"/>
          <w:color w:val="auto"/>
        </w:rPr>
        <w:t>年</w:t>
      </w:r>
      <w:r>
        <w:rPr>
          <w:rFonts w:hint="eastAsia" w:cs="Times New Roman"/>
          <w:color w:val="auto"/>
          <w:lang w:val="en-US" w:eastAsia="zh-CN"/>
        </w:rPr>
        <w:t>10</w:t>
      </w:r>
      <w:r>
        <w:rPr>
          <w:rFonts w:hint="default" w:ascii="Times New Roman" w:hAnsi="Times New Roman" w:cs="Times New Roman"/>
          <w:color w:val="auto"/>
        </w:rPr>
        <w:t>月</w:t>
      </w:r>
      <w:r>
        <w:rPr>
          <w:rFonts w:hint="eastAsia" w:cs="Times New Roman"/>
          <w:color w:val="auto"/>
          <w:lang w:val="en-US" w:eastAsia="zh-CN"/>
        </w:rPr>
        <w:t>10</w:t>
      </w:r>
      <w:r>
        <w:rPr>
          <w:rFonts w:hint="default" w:ascii="Times New Roman" w:hAnsi="Times New Roman" w:cs="Times New Roman"/>
          <w:color w:val="auto"/>
        </w:rPr>
        <w:t>日</w:t>
      </w:r>
      <w:r>
        <w:rPr>
          <w:rFonts w:hint="default" w:ascii="Times New Roman" w:hAnsi="Times New Roman" w:cs="Times New Roman"/>
          <w:color w:val="auto"/>
          <w:lang w:eastAsia="zh-CN"/>
        </w:rPr>
        <w:t>、</w:t>
      </w:r>
      <w:r>
        <w:rPr>
          <w:rFonts w:hint="eastAsia" w:cs="Times New Roman"/>
          <w:color w:val="auto"/>
          <w:lang w:val="en-US" w:eastAsia="zh-CN"/>
        </w:rPr>
        <w:t>11</w:t>
      </w:r>
      <w:r>
        <w:rPr>
          <w:rFonts w:hint="default" w:ascii="Times New Roman" w:hAnsi="Times New Roman" w:cs="Times New Roman"/>
          <w:color w:val="auto"/>
        </w:rPr>
        <w:t>日，在此期间，福州市红庙岭垃圾焚烧发电厂飞灰稳定化预处理扩建工程BOT项目两天的生产量均达到设计产能的</w:t>
      </w:r>
      <w:r>
        <w:rPr>
          <w:rFonts w:hint="default" w:ascii="Times New Roman" w:hAnsi="Times New Roman" w:cs="Times New Roman"/>
          <w:color w:val="auto"/>
          <w:lang w:val="en-US" w:eastAsia="zh-CN"/>
        </w:rPr>
        <w:t>100</w:t>
      </w:r>
      <w:r>
        <w:rPr>
          <w:rFonts w:hint="default" w:ascii="Times New Roman" w:hAnsi="Times New Roman" w:cs="Times New Roman"/>
          <w:color w:val="auto"/>
        </w:rPr>
        <w:t>%，废气治理设施正常运行。具体工况见表9</w:t>
      </w:r>
      <w:r>
        <w:rPr>
          <w:rFonts w:hint="default" w:ascii="Times New Roman" w:hAnsi="Times New Roman" w:cs="Times New Roman"/>
          <w:color w:val="auto"/>
          <w:lang w:val="en-US" w:eastAsia="zh-CN"/>
        </w:rPr>
        <w:t>.1</w:t>
      </w:r>
      <w:r>
        <w:rPr>
          <w:rFonts w:hint="default" w:ascii="Times New Roman" w:hAnsi="Times New Roman" w:cs="Times New Roman"/>
          <w:color w:val="auto"/>
        </w:rPr>
        <w:t>-1。</w:t>
      </w:r>
    </w:p>
    <w:p w14:paraId="19BEDBDF">
      <w:pPr>
        <w:pStyle w:val="21"/>
        <w:bidi w:val="0"/>
        <w:rPr>
          <w:rFonts w:hint="default" w:ascii="Times New Roman" w:hAnsi="Times New Roman" w:cs="Times New Roman"/>
          <w:color w:val="auto"/>
        </w:rPr>
      </w:pPr>
      <w:r>
        <w:rPr>
          <w:rFonts w:hint="default" w:ascii="Times New Roman" w:hAnsi="Times New Roman" w:cs="Times New Roman"/>
          <w:color w:val="auto"/>
        </w:rPr>
        <w:t>表9</w:t>
      </w:r>
      <w:r>
        <w:rPr>
          <w:rFonts w:hint="default" w:ascii="Times New Roman" w:hAnsi="Times New Roman" w:cs="Times New Roman"/>
          <w:color w:val="auto"/>
          <w:lang w:val="en-US" w:eastAsia="zh-CN"/>
        </w:rPr>
        <w:t>.1</w:t>
      </w:r>
      <w:r>
        <w:rPr>
          <w:rFonts w:hint="default" w:ascii="Times New Roman" w:hAnsi="Times New Roman" w:cs="Times New Roman"/>
          <w:color w:val="auto"/>
        </w:rPr>
        <w:t>-1 监测期间工况表</w:t>
      </w:r>
    </w:p>
    <w:tbl>
      <w:tblPr>
        <w:tblStyle w:val="20"/>
        <w:tblW w:w="9071" w:type="dxa"/>
        <w:jc w:val="center"/>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09"/>
        <w:gridCol w:w="2318"/>
        <w:gridCol w:w="2320"/>
        <w:gridCol w:w="2224"/>
      </w:tblGrid>
      <w:tr w14:paraId="5ED4D9ED">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209" w:type="dxa"/>
            <w:tcBorders>
              <w:left w:val="nil"/>
            </w:tcBorders>
            <w:vAlign w:val="center"/>
          </w:tcPr>
          <w:p w14:paraId="2DD431EC">
            <w:pPr>
              <w:pStyle w:val="23"/>
              <w:bidi w:val="0"/>
              <w:rPr>
                <w:rFonts w:hint="default" w:ascii="Times New Roman" w:hAnsi="Times New Roman" w:cs="Times New Roman"/>
                <w:color w:val="auto"/>
              </w:rPr>
            </w:pPr>
            <w:r>
              <w:rPr>
                <w:rFonts w:hint="default" w:ascii="Times New Roman" w:hAnsi="Times New Roman" w:cs="Times New Roman"/>
                <w:color w:val="auto"/>
              </w:rPr>
              <w:t>监测时间</w:t>
            </w:r>
          </w:p>
        </w:tc>
        <w:tc>
          <w:tcPr>
            <w:tcW w:w="2318" w:type="dxa"/>
            <w:vAlign w:val="center"/>
          </w:tcPr>
          <w:p w14:paraId="0FD05556">
            <w:pPr>
              <w:pStyle w:val="23"/>
              <w:bidi w:val="0"/>
              <w:rPr>
                <w:rFonts w:hint="default" w:ascii="Times New Roman" w:hAnsi="Times New Roman" w:cs="Times New Roman"/>
                <w:color w:val="auto"/>
              </w:rPr>
            </w:pPr>
            <w:r>
              <w:rPr>
                <w:rFonts w:hint="default" w:ascii="Times New Roman" w:hAnsi="Times New Roman" w:cs="Times New Roman"/>
                <w:color w:val="auto"/>
              </w:rPr>
              <w:t>实际处理量t/d</w:t>
            </w:r>
          </w:p>
        </w:tc>
        <w:tc>
          <w:tcPr>
            <w:tcW w:w="2320" w:type="dxa"/>
            <w:vAlign w:val="center"/>
          </w:tcPr>
          <w:p w14:paraId="2FF35C08">
            <w:pPr>
              <w:pStyle w:val="23"/>
              <w:bidi w:val="0"/>
              <w:rPr>
                <w:rFonts w:hint="default" w:ascii="Times New Roman" w:hAnsi="Times New Roman" w:cs="Times New Roman"/>
                <w:color w:val="auto"/>
              </w:rPr>
            </w:pPr>
            <w:r>
              <w:rPr>
                <w:rFonts w:hint="default" w:ascii="Times New Roman" w:hAnsi="Times New Roman" w:cs="Times New Roman"/>
                <w:color w:val="auto"/>
              </w:rPr>
              <w:t>设计处理量t/d</w:t>
            </w:r>
          </w:p>
        </w:tc>
        <w:tc>
          <w:tcPr>
            <w:tcW w:w="2224" w:type="dxa"/>
            <w:tcBorders>
              <w:right w:val="nil"/>
            </w:tcBorders>
            <w:vAlign w:val="center"/>
          </w:tcPr>
          <w:p w14:paraId="25B3513D">
            <w:pPr>
              <w:pStyle w:val="23"/>
              <w:bidi w:val="0"/>
              <w:rPr>
                <w:rFonts w:hint="default" w:ascii="Times New Roman" w:hAnsi="Times New Roman" w:cs="Times New Roman"/>
                <w:color w:val="auto"/>
              </w:rPr>
            </w:pPr>
            <w:r>
              <w:rPr>
                <w:rFonts w:hint="default" w:ascii="Times New Roman" w:hAnsi="Times New Roman" w:cs="Times New Roman"/>
                <w:color w:val="auto"/>
              </w:rPr>
              <w:t>生产负荷%</w:t>
            </w:r>
          </w:p>
        </w:tc>
      </w:tr>
      <w:tr w14:paraId="69D5C72C">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209" w:type="dxa"/>
            <w:tcBorders>
              <w:left w:val="nil"/>
            </w:tcBorders>
            <w:vAlign w:val="center"/>
          </w:tcPr>
          <w:p w14:paraId="15470C55">
            <w:pPr>
              <w:pStyle w:val="23"/>
              <w:bidi w:val="0"/>
              <w:rPr>
                <w:rFonts w:hint="default" w:ascii="Times New Roman" w:hAnsi="Times New Roman" w:eastAsia="宋体" w:cs="Times New Roman"/>
                <w:color w:val="auto"/>
                <w:lang w:eastAsia="zh-CN"/>
              </w:rPr>
            </w:pPr>
            <w:r>
              <w:rPr>
                <w:rFonts w:hint="default" w:ascii="Times New Roman" w:hAnsi="Times New Roman" w:cs="Times New Roman"/>
                <w:color w:val="auto"/>
              </w:rPr>
              <w:t>20</w:t>
            </w:r>
            <w:r>
              <w:rPr>
                <w:rFonts w:hint="default" w:ascii="Times New Roman" w:hAnsi="Times New Roman" w:cs="Times New Roman"/>
                <w:color w:val="auto"/>
                <w:lang w:val="en-US" w:eastAsia="zh-CN"/>
              </w:rPr>
              <w:t>24</w:t>
            </w:r>
            <w:r>
              <w:rPr>
                <w:rFonts w:hint="default" w:ascii="Times New Roman" w:hAnsi="Times New Roman" w:cs="Times New Roman"/>
                <w:color w:val="auto"/>
              </w:rPr>
              <w:t>.</w:t>
            </w:r>
            <w:r>
              <w:rPr>
                <w:rFonts w:hint="default" w:ascii="Times New Roman" w:hAnsi="Times New Roman" w:cs="Times New Roman"/>
                <w:color w:val="auto"/>
                <w:lang w:val="en-US" w:eastAsia="zh-CN"/>
              </w:rPr>
              <w:t>9</w:t>
            </w:r>
            <w:r>
              <w:rPr>
                <w:rFonts w:hint="default" w:ascii="Times New Roman" w:hAnsi="Times New Roman" w:cs="Times New Roman"/>
                <w:color w:val="auto"/>
              </w:rPr>
              <w:t>.</w:t>
            </w:r>
            <w:r>
              <w:rPr>
                <w:rFonts w:hint="default" w:ascii="Times New Roman" w:hAnsi="Times New Roman" w:cs="Times New Roman"/>
                <w:color w:val="auto"/>
                <w:lang w:val="en-US" w:eastAsia="zh-CN"/>
              </w:rPr>
              <w:t>4</w:t>
            </w:r>
          </w:p>
        </w:tc>
        <w:tc>
          <w:tcPr>
            <w:tcW w:w="2318" w:type="dxa"/>
            <w:vAlign w:val="center"/>
          </w:tcPr>
          <w:p w14:paraId="3FBFF217">
            <w:pPr>
              <w:pStyle w:val="23"/>
              <w:bidi w:val="0"/>
              <w:rPr>
                <w:rFonts w:hint="default"/>
                <w:color w:val="auto"/>
                <w:lang w:val="en-US" w:eastAsia="zh-CN"/>
              </w:rPr>
            </w:pPr>
            <w:r>
              <w:rPr>
                <w:rFonts w:hint="eastAsia"/>
                <w:color w:val="auto"/>
                <w:lang w:val="en-US" w:eastAsia="zh-CN"/>
              </w:rPr>
              <w:t>100</w:t>
            </w:r>
          </w:p>
        </w:tc>
        <w:tc>
          <w:tcPr>
            <w:tcW w:w="2320" w:type="dxa"/>
            <w:vAlign w:val="center"/>
          </w:tcPr>
          <w:p w14:paraId="5609886B">
            <w:pPr>
              <w:pStyle w:val="23"/>
              <w:bidi w:val="0"/>
              <w:rPr>
                <w:rFonts w:hint="default"/>
                <w:color w:val="auto"/>
                <w:lang w:val="en-US" w:eastAsia="zh-CN"/>
              </w:rPr>
            </w:pPr>
            <w:r>
              <w:rPr>
                <w:rFonts w:hint="eastAsia"/>
                <w:color w:val="auto"/>
                <w:lang w:val="en-US" w:eastAsia="zh-CN"/>
              </w:rPr>
              <w:t>100</w:t>
            </w:r>
          </w:p>
        </w:tc>
        <w:tc>
          <w:tcPr>
            <w:tcW w:w="2224" w:type="dxa"/>
            <w:tcBorders>
              <w:right w:val="nil"/>
            </w:tcBorders>
            <w:vAlign w:val="center"/>
          </w:tcPr>
          <w:p w14:paraId="116A2A59">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100</w:t>
            </w:r>
          </w:p>
        </w:tc>
      </w:tr>
      <w:tr w14:paraId="5DE51004">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209" w:type="dxa"/>
            <w:tcBorders>
              <w:left w:val="nil"/>
            </w:tcBorders>
            <w:vAlign w:val="center"/>
          </w:tcPr>
          <w:p w14:paraId="1F1E1329">
            <w:pPr>
              <w:pStyle w:val="23"/>
              <w:bidi w:val="0"/>
              <w:rPr>
                <w:rFonts w:hint="default" w:ascii="Times New Roman" w:hAnsi="Times New Roman" w:eastAsia="宋体" w:cs="Times New Roman"/>
                <w:color w:val="auto"/>
                <w:lang w:eastAsia="zh-CN"/>
              </w:rPr>
            </w:pPr>
            <w:r>
              <w:rPr>
                <w:rFonts w:hint="default" w:ascii="Times New Roman" w:hAnsi="Times New Roman" w:cs="Times New Roman"/>
                <w:color w:val="auto"/>
              </w:rPr>
              <w:t>20</w:t>
            </w:r>
            <w:r>
              <w:rPr>
                <w:rFonts w:hint="default" w:ascii="Times New Roman" w:hAnsi="Times New Roman" w:cs="Times New Roman"/>
                <w:color w:val="auto"/>
                <w:lang w:val="en-US" w:eastAsia="zh-CN"/>
              </w:rPr>
              <w:t>24</w:t>
            </w:r>
            <w:r>
              <w:rPr>
                <w:rFonts w:hint="default" w:ascii="Times New Roman" w:hAnsi="Times New Roman" w:cs="Times New Roman"/>
                <w:color w:val="auto"/>
              </w:rPr>
              <w:t>.</w:t>
            </w:r>
            <w:r>
              <w:rPr>
                <w:rFonts w:hint="default" w:ascii="Times New Roman" w:hAnsi="Times New Roman" w:cs="Times New Roman"/>
                <w:color w:val="auto"/>
                <w:lang w:val="en-US" w:eastAsia="zh-CN"/>
              </w:rPr>
              <w:t>9</w:t>
            </w:r>
            <w:r>
              <w:rPr>
                <w:rFonts w:hint="default" w:ascii="Times New Roman" w:hAnsi="Times New Roman" w:cs="Times New Roman"/>
                <w:color w:val="auto"/>
              </w:rPr>
              <w:t>.</w:t>
            </w:r>
            <w:r>
              <w:rPr>
                <w:rFonts w:hint="default" w:ascii="Times New Roman" w:hAnsi="Times New Roman" w:cs="Times New Roman"/>
                <w:color w:val="auto"/>
                <w:lang w:val="en-US" w:eastAsia="zh-CN"/>
              </w:rPr>
              <w:t>5</w:t>
            </w:r>
          </w:p>
        </w:tc>
        <w:tc>
          <w:tcPr>
            <w:tcW w:w="2318" w:type="dxa"/>
            <w:vAlign w:val="center"/>
          </w:tcPr>
          <w:p w14:paraId="438CDBB3">
            <w:pPr>
              <w:pStyle w:val="23"/>
              <w:bidi w:val="0"/>
              <w:rPr>
                <w:rFonts w:hint="default"/>
                <w:color w:val="auto"/>
                <w:lang w:val="en-US" w:eastAsia="zh-CN"/>
              </w:rPr>
            </w:pPr>
            <w:r>
              <w:rPr>
                <w:rFonts w:hint="eastAsia"/>
                <w:color w:val="auto"/>
                <w:lang w:val="en-US" w:eastAsia="zh-CN"/>
              </w:rPr>
              <w:t>100</w:t>
            </w:r>
          </w:p>
        </w:tc>
        <w:tc>
          <w:tcPr>
            <w:tcW w:w="2320" w:type="dxa"/>
            <w:vAlign w:val="center"/>
          </w:tcPr>
          <w:p w14:paraId="4955D8D0">
            <w:pPr>
              <w:pStyle w:val="23"/>
              <w:bidi w:val="0"/>
              <w:rPr>
                <w:rFonts w:hint="default"/>
                <w:color w:val="auto"/>
                <w:lang w:val="en-US" w:eastAsia="zh-CN"/>
              </w:rPr>
            </w:pPr>
            <w:r>
              <w:rPr>
                <w:rFonts w:hint="eastAsia"/>
                <w:color w:val="auto"/>
                <w:lang w:val="en-US" w:eastAsia="zh-CN"/>
              </w:rPr>
              <w:t>100</w:t>
            </w:r>
          </w:p>
        </w:tc>
        <w:tc>
          <w:tcPr>
            <w:tcW w:w="2224" w:type="dxa"/>
            <w:tcBorders>
              <w:right w:val="nil"/>
            </w:tcBorders>
            <w:vAlign w:val="center"/>
          </w:tcPr>
          <w:p w14:paraId="231FC41A">
            <w:pPr>
              <w:pStyle w:val="2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100</w:t>
            </w:r>
          </w:p>
        </w:tc>
      </w:tr>
      <w:tr w14:paraId="764EAEA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209" w:type="dxa"/>
            <w:tcBorders>
              <w:left w:val="nil"/>
            </w:tcBorders>
            <w:shd w:val="clear" w:color="auto" w:fill="auto"/>
            <w:vAlign w:val="center"/>
          </w:tcPr>
          <w:p w14:paraId="1ECD88B2">
            <w:pPr>
              <w:pStyle w:val="23"/>
              <w:bidi w:val="0"/>
              <w:ind w:firstLine="0" w:firstLineChars="0"/>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color w:val="auto"/>
              </w:rPr>
              <w:t>20</w:t>
            </w:r>
            <w:r>
              <w:rPr>
                <w:rFonts w:hint="default" w:ascii="Times New Roman" w:hAnsi="Times New Roman" w:cs="Times New Roman"/>
                <w:color w:val="auto"/>
                <w:lang w:val="en-US" w:eastAsia="zh-CN"/>
              </w:rPr>
              <w:t>24</w:t>
            </w:r>
            <w:r>
              <w:rPr>
                <w:rFonts w:hint="default" w:ascii="Times New Roman" w:hAnsi="Times New Roman" w:cs="Times New Roman"/>
                <w:color w:val="auto"/>
              </w:rPr>
              <w:t>.</w:t>
            </w:r>
            <w:r>
              <w:rPr>
                <w:rFonts w:hint="eastAsia" w:cs="Times New Roman"/>
                <w:color w:val="auto"/>
                <w:lang w:val="en-US" w:eastAsia="zh-CN"/>
              </w:rPr>
              <w:t>10</w:t>
            </w:r>
            <w:r>
              <w:rPr>
                <w:rFonts w:hint="default" w:ascii="Times New Roman" w:hAnsi="Times New Roman" w:cs="Times New Roman"/>
                <w:color w:val="auto"/>
              </w:rPr>
              <w:t>.</w:t>
            </w:r>
            <w:r>
              <w:rPr>
                <w:rFonts w:hint="eastAsia" w:cs="Times New Roman"/>
                <w:color w:val="auto"/>
                <w:lang w:val="en-US" w:eastAsia="zh-CN"/>
              </w:rPr>
              <w:t>10</w:t>
            </w:r>
          </w:p>
        </w:tc>
        <w:tc>
          <w:tcPr>
            <w:tcW w:w="2318" w:type="dxa"/>
            <w:shd w:val="clear" w:color="auto" w:fill="auto"/>
            <w:vAlign w:val="center"/>
          </w:tcPr>
          <w:p w14:paraId="23C759FC">
            <w:pPr>
              <w:pStyle w:val="23"/>
              <w:bidi w:val="0"/>
              <w:rPr>
                <w:rFonts w:hint="default"/>
                <w:color w:val="auto"/>
                <w:lang w:val="en-US" w:eastAsia="zh-CN"/>
              </w:rPr>
            </w:pPr>
            <w:r>
              <w:rPr>
                <w:rFonts w:hint="eastAsia"/>
                <w:color w:val="auto"/>
                <w:lang w:val="en-US" w:eastAsia="zh-CN"/>
              </w:rPr>
              <w:t>100</w:t>
            </w:r>
          </w:p>
        </w:tc>
        <w:tc>
          <w:tcPr>
            <w:tcW w:w="2320" w:type="dxa"/>
            <w:shd w:val="clear" w:color="auto" w:fill="auto"/>
            <w:vAlign w:val="center"/>
          </w:tcPr>
          <w:p w14:paraId="0B0EFF9A">
            <w:pPr>
              <w:pStyle w:val="23"/>
              <w:bidi w:val="0"/>
              <w:rPr>
                <w:rFonts w:hint="default"/>
                <w:color w:val="auto"/>
                <w:lang w:val="en-US" w:eastAsia="zh-CN"/>
              </w:rPr>
            </w:pPr>
            <w:r>
              <w:rPr>
                <w:rFonts w:hint="eastAsia"/>
                <w:color w:val="auto"/>
                <w:lang w:val="en-US" w:eastAsia="zh-CN"/>
              </w:rPr>
              <w:t>100</w:t>
            </w:r>
          </w:p>
        </w:tc>
        <w:tc>
          <w:tcPr>
            <w:tcW w:w="2224" w:type="dxa"/>
            <w:tcBorders>
              <w:right w:val="nil"/>
            </w:tcBorders>
            <w:shd w:val="clear" w:color="auto" w:fill="auto"/>
            <w:vAlign w:val="center"/>
          </w:tcPr>
          <w:p w14:paraId="46FFB600">
            <w:pPr>
              <w:pStyle w:val="23"/>
              <w:bidi w:val="0"/>
              <w:ind w:firstLine="0" w:firstLineChars="0"/>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color w:val="auto"/>
                <w:lang w:val="en-US" w:eastAsia="zh-CN"/>
              </w:rPr>
              <w:t>100</w:t>
            </w:r>
          </w:p>
        </w:tc>
      </w:tr>
      <w:tr w14:paraId="6FC3B377">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209" w:type="dxa"/>
            <w:tcBorders>
              <w:left w:val="nil"/>
            </w:tcBorders>
            <w:shd w:val="clear" w:color="auto" w:fill="auto"/>
            <w:vAlign w:val="center"/>
          </w:tcPr>
          <w:p w14:paraId="278F0EFD">
            <w:pPr>
              <w:pStyle w:val="23"/>
              <w:bidi w:val="0"/>
              <w:ind w:firstLine="0" w:firstLineChars="0"/>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color w:val="auto"/>
              </w:rPr>
              <w:t>20</w:t>
            </w:r>
            <w:r>
              <w:rPr>
                <w:rFonts w:hint="default" w:ascii="Times New Roman" w:hAnsi="Times New Roman" w:cs="Times New Roman"/>
                <w:color w:val="auto"/>
                <w:lang w:val="en-US" w:eastAsia="zh-CN"/>
              </w:rPr>
              <w:t>24</w:t>
            </w:r>
            <w:r>
              <w:rPr>
                <w:rFonts w:hint="default" w:ascii="Times New Roman" w:hAnsi="Times New Roman" w:cs="Times New Roman"/>
                <w:color w:val="auto"/>
              </w:rPr>
              <w:t>.</w:t>
            </w:r>
            <w:r>
              <w:rPr>
                <w:rFonts w:hint="eastAsia" w:cs="Times New Roman"/>
                <w:color w:val="auto"/>
                <w:lang w:val="en-US" w:eastAsia="zh-CN"/>
              </w:rPr>
              <w:t>10</w:t>
            </w:r>
            <w:r>
              <w:rPr>
                <w:rFonts w:hint="default" w:ascii="Times New Roman" w:hAnsi="Times New Roman" w:cs="Times New Roman"/>
                <w:color w:val="auto"/>
              </w:rPr>
              <w:t>.</w:t>
            </w:r>
            <w:r>
              <w:rPr>
                <w:rFonts w:hint="eastAsia" w:cs="Times New Roman"/>
                <w:color w:val="auto"/>
                <w:lang w:val="en-US" w:eastAsia="zh-CN"/>
              </w:rPr>
              <w:t>11</w:t>
            </w:r>
          </w:p>
        </w:tc>
        <w:tc>
          <w:tcPr>
            <w:tcW w:w="2318" w:type="dxa"/>
            <w:shd w:val="clear" w:color="auto" w:fill="auto"/>
            <w:vAlign w:val="center"/>
          </w:tcPr>
          <w:p w14:paraId="6037FF63">
            <w:pPr>
              <w:pStyle w:val="23"/>
              <w:bidi w:val="0"/>
              <w:rPr>
                <w:rFonts w:hint="default"/>
                <w:color w:val="auto"/>
                <w:lang w:val="en-US" w:eastAsia="zh-CN"/>
              </w:rPr>
            </w:pPr>
            <w:r>
              <w:rPr>
                <w:rFonts w:hint="eastAsia"/>
                <w:color w:val="auto"/>
                <w:lang w:val="en-US" w:eastAsia="zh-CN"/>
              </w:rPr>
              <w:t>100</w:t>
            </w:r>
          </w:p>
        </w:tc>
        <w:tc>
          <w:tcPr>
            <w:tcW w:w="2320" w:type="dxa"/>
            <w:shd w:val="clear" w:color="auto" w:fill="auto"/>
            <w:vAlign w:val="center"/>
          </w:tcPr>
          <w:p w14:paraId="1240084F">
            <w:pPr>
              <w:pStyle w:val="23"/>
              <w:bidi w:val="0"/>
              <w:rPr>
                <w:rFonts w:hint="default"/>
                <w:color w:val="auto"/>
                <w:lang w:val="en-US" w:eastAsia="zh-CN"/>
              </w:rPr>
            </w:pPr>
            <w:r>
              <w:rPr>
                <w:rFonts w:hint="eastAsia"/>
                <w:color w:val="auto"/>
                <w:lang w:val="en-US" w:eastAsia="zh-CN"/>
              </w:rPr>
              <w:t>100</w:t>
            </w:r>
          </w:p>
        </w:tc>
        <w:tc>
          <w:tcPr>
            <w:tcW w:w="2224" w:type="dxa"/>
            <w:tcBorders>
              <w:right w:val="nil"/>
            </w:tcBorders>
            <w:shd w:val="clear" w:color="auto" w:fill="auto"/>
            <w:vAlign w:val="center"/>
          </w:tcPr>
          <w:p w14:paraId="455B4149">
            <w:pPr>
              <w:pStyle w:val="23"/>
              <w:bidi w:val="0"/>
              <w:ind w:firstLine="0" w:firstLineChars="0"/>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color w:val="auto"/>
                <w:lang w:val="en-US" w:eastAsia="zh-CN"/>
              </w:rPr>
              <w:t>100</w:t>
            </w:r>
          </w:p>
        </w:tc>
      </w:tr>
    </w:tbl>
    <w:p w14:paraId="1A2A1DAC">
      <w:pPr>
        <w:pStyle w:val="3"/>
        <w:bidi w:val="0"/>
        <w:rPr>
          <w:rFonts w:hint="default" w:ascii="Times New Roman" w:hAnsi="Times New Roman" w:cs="Times New Roman"/>
          <w:color w:val="auto"/>
        </w:rPr>
      </w:pPr>
      <w:bookmarkStart w:id="65" w:name="_Toc27890"/>
      <w:r>
        <w:rPr>
          <w:rFonts w:hint="default" w:ascii="Times New Roman" w:hAnsi="Times New Roman" w:cs="Times New Roman"/>
          <w:color w:val="auto"/>
        </w:rPr>
        <w:t>9.2环保设施调试运行效果</w:t>
      </w:r>
      <w:bookmarkEnd w:id="65"/>
    </w:p>
    <w:p w14:paraId="1B8389C8">
      <w:pPr>
        <w:pStyle w:val="4"/>
        <w:bidi w:val="0"/>
        <w:rPr>
          <w:rFonts w:hint="default" w:ascii="Times New Roman" w:hAnsi="Times New Roman" w:cs="Times New Roman"/>
          <w:color w:val="auto"/>
        </w:rPr>
      </w:pPr>
      <w:bookmarkStart w:id="66" w:name="_Toc21814"/>
      <w:r>
        <w:rPr>
          <w:rFonts w:hint="default" w:ascii="Times New Roman" w:hAnsi="Times New Roman" w:cs="Times New Roman"/>
          <w:color w:val="auto"/>
        </w:rPr>
        <w:t>9.2.</w:t>
      </w:r>
      <w:r>
        <w:rPr>
          <w:rFonts w:hint="default" w:ascii="Times New Roman" w:hAnsi="Times New Roman" w:cs="Times New Roman"/>
          <w:color w:val="auto"/>
          <w:lang w:val="en-US" w:eastAsia="zh-CN"/>
        </w:rPr>
        <w:t>1</w:t>
      </w:r>
      <w:r>
        <w:rPr>
          <w:rFonts w:hint="default" w:ascii="Times New Roman" w:hAnsi="Times New Roman" w:cs="Times New Roman"/>
          <w:color w:val="auto"/>
        </w:rPr>
        <w:t>污染物排放监测结果</w:t>
      </w:r>
      <w:bookmarkEnd w:id="66"/>
    </w:p>
    <w:p w14:paraId="17A1F675">
      <w:pPr>
        <w:pStyle w:val="5"/>
        <w:bidi w:val="0"/>
        <w:rPr>
          <w:rFonts w:hint="default" w:ascii="Times New Roman" w:hAnsi="Times New Roman" w:cs="Times New Roman"/>
          <w:color w:val="auto"/>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"9.2.1.1" </w:instrText>
      </w:r>
      <w:r>
        <w:rPr>
          <w:rFonts w:hint="default" w:ascii="Times New Roman" w:hAnsi="Times New Roman" w:cs="Times New Roman"/>
          <w:color w:val="auto"/>
        </w:rPr>
        <w:fldChar w:fldCharType="separate"/>
      </w:r>
      <w:r>
        <w:rPr>
          <w:rFonts w:hint="default" w:ascii="Times New Roman" w:hAnsi="Times New Roman" w:cs="Times New Roman"/>
          <w:color w:val="auto"/>
        </w:rPr>
        <w:t>9.2.</w:t>
      </w:r>
      <w:r>
        <w:rPr>
          <w:rFonts w:hint="default" w:ascii="Times New Roman" w:hAnsi="Times New Roman" w:cs="Times New Roman"/>
          <w:color w:val="auto"/>
          <w:lang w:val="en-US" w:eastAsia="zh-CN"/>
        </w:rPr>
        <w:t>2</w:t>
      </w:r>
      <w:r>
        <w:rPr>
          <w:rFonts w:hint="default" w:ascii="Times New Roman" w:hAnsi="Times New Roman" w:cs="Times New Roman"/>
          <w:color w:val="auto"/>
        </w:rPr>
        <w:t>.1</w:t>
      </w:r>
      <w:r>
        <w:rPr>
          <w:rFonts w:hint="default" w:ascii="Times New Roman" w:hAnsi="Times New Roman" w:cs="Times New Roman"/>
          <w:color w:val="auto"/>
        </w:rPr>
        <w:fldChar w:fldCharType="end"/>
      </w:r>
      <w:r>
        <w:rPr>
          <w:rFonts w:hint="default" w:ascii="Times New Roman" w:hAnsi="Times New Roman" w:cs="Times New Roman"/>
          <w:color w:val="auto"/>
        </w:rPr>
        <w:t>废水</w:t>
      </w:r>
    </w:p>
    <w:p w14:paraId="11266CEB">
      <w:pPr>
        <w:bidi w:val="0"/>
        <w:rPr>
          <w:rFonts w:hint="default" w:ascii="Times New Roman" w:hAnsi="Times New Roman" w:cs="Times New Roman"/>
          <w:color w:val="auto"/>
        </w:rPr>
      </w:pPr>
      <w:r>
        <w:rPr>
          <w:rFonts w:hint="default" w:ascii="Times New Roman" w:hAnsi="Times New Roman" w:cs="Times New Roman"/>
          <w:color w:val="auto"/>
        </w:rPr>
        <w:t>（1）生产废水</w:t>
      </w:r>
    </w:p>
    <w:p w14:paraId="6F20A540">
      <w:pPr>
        <w:bidi w:val="0"/>
        <w:rPr>
          <w:rFonts w:hint="default" w:ascii="Times New Roman" w:hAnsi="Times New Roman" w:eastAsia="宋体" w:cs="Times New Roman"/>
          <w:color w:val="auto"/>
          <w:lang w:eastAsia="zh-CN"/>
        </w:rPr>
      </w:pPr>
      <w:r>
        <w:rPr>
          <w:rFonts w:hint="default" w:ascii="Times New Roman" w:hAnsi="Times New Roman" w:cs="Times New Roman"/>
          <w:color w:val="auto"/>
        </w:rPr>
        <w:t>其车间冲洗水</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运输车辆冲洗水</w:t>
      </w:r>
      <w:r>
        <w:rPr>
          <w:rFonts w:hint="default" w:ascii="Times New Roman" w:hAnsi="Times New Roman" w:cs="Times New Roman"/>
          <w:color w:val="auto"/>
        </w:rPr>
        <w:t>等生产废水</w:t>
      </w:r>
      <w:r>
        <w:rPr>
          <w:rFonts w:hint="default" w:ascii="Times New Roman" w:hAnsi="Times New Roman" w:cs="Times New Roman"/>
          <w:color w:val="auto"/>
          <w:kern w:val="1"/>
          <w:u w:val="none"/>
        </w:rPr>
        <w:t>由厂区内生产废水回用收集槽收集，</w:t>
      </w:r>
      <w:r>
        <w:rPr>
          <w:rFonts w:hint="default" w:ascii="Times New Roman" w:hAnsi="Times New Roman" w:cs="Times New Roman"/>
          <w:color w:val="auto"/>
          <w:kern w:val="1"/>
          <w:u w:val="none"/>
          <w:lang w:val="en-US" w:eastAsia="zh-CN"/>
        </w:rPr>
        <w:t>之后废水由槽沟流入回用池进行静置沉淀，</w:t>
      </w:r>
      <w:r>
        <w:rPr>
          <w:rFonts w:hint="default" w:ascii="Times New Roman" w:hAnsi="Times New Roman" w:cs="Times New Roman"/>
          <w:color w:val="auto"/>
          <w:kern w:val="1"/>
          <w:u w:val="none"/>
        </w:rPr>
        <w:t>通过水泵</w:t>
      </w:r>
      <w:r>
        <w:rPr>
          <w:rFonts w:hint="default" w:ascii="Times New Roman" w:hAnsi="Times New Roman" w:cs="Times New Roman"/>
          <w:color w:val="auto"/>
          <w:kern w:val="1"/>
          <w:u w:val="none"/>
          <w:lang w:val="en-US" w:eastAsia="zh-CN"/>
        </w:rPr>
        <w:t>将沉淀分层后的上层清液</w:t>
      </w:r>
      <w:r>
        <w:rPr>
          <w:rFonts w:hint="default" w:ascii="Times New Roman" w:hAnsi="Times New Roman" w:cs="Times New Roman"/>
          <w:color w:val="auto"/>
          <w:kern w:val="1"/>
          <w:u w:val="none"/>
        </w:rPr>
        <w:t>抽入专门废水回收罐中，直接回用于生产工艺中</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rPr>
        <w:t>不外排</w:t>
      </w:r>
      <w:r>
        <w:rPr>
          <w:rFonts w:hint="default" w:ascii="Times New Roman" w:hAnsi="Times New Roman" w:cs="Times New Roman"/>
          <w:color w:val="auto"/>
          <w:lang w:eastAsia="zh-CN"/>
        </w:rPr>
        <w:t>；</w:t>
      </w:r>
      <w:r>
        <w:rPr>
          <w:rFonts w:hint="default" w:ascii="Times New Roman" w:hAnsi="Times New Roman" w:cs="Times New Roman"/>
          <w:color w:val="auto"/>
          <w:kern w:val="1"/>
          <w:u w:val="none"/>
          <w:lang w:val="en-US" w:eastAsia="zh-CN"/>
        </w:rPr>
        <w:t>留于池底的沉淀渣主要成分</w:t>
      </w:r>
      <w:r>
        <w:rPr>
          <w:rFonts w:hint="eastAsia" w:ascii="Times New Roman" w:hAnsi="Times New Roman" w:cs="Times New Roman"/>
          <w:color w:val="auto"/>
          <w:kern w:val="1"/>
          <w:u w:val="none"/>
          <w:lang w:val="en-US" w:eastAsia="zh-CN"/>
        </w:rPr>
        <w:t>为</w:t>
      </w:r>
      <w:r>
        <w:rPr>
          <w:rFonts w:hint="default" w:ascii="Times New Roman" w:hAnsi="Times New Roman" w:cs="Times New Roman"/>
          <w:color w:val="auto"/>
          <w:kern w:val="1"/>
          <w:u w:val="none"/>
          <w:lang w:val="en-US" w:eastAsia="zh-CN"/>
        </w:rPr>
        <w:t>飞灰粉尘，清理收集后经过破碎机粉碎，重新进行稳定化处理</w:t>
      </w:r>
      <w:r>
        <w:rPr>
          <w:rFonts w:hint="default" w:ascii="Times New Roman" w:hAnsi="Times New Roman" w:cs="Times New Roman"/>
          <w:color w:val="auto"/>
          <w:kern w:val="1"/>
          <w:u w:val="none"/>
          <w:lang w:eastAsia="zh-CN"/>
        </w:rPr>
        <w:t>。</w:t>
      </w:r>
    </w:p>
    <w:p w14:paraId="276CE750">
      <w:pPr>
        <w:bidi w:val="0"/>
        <w:rPr>
          <w:rFonts w:hint="default" w:ascii="Times New Roman" w:hAnsi="Times New Roman" w:cs="Times New Roman"/>
          <w:color w:val="auto"/>
        </w:rPr>
      </w:pPr>
      <w:r>
        <w:rPr>
          <w:rFonts w:hint="default" w:ascii="Times New Roman" w:hAnsi="Times New Roman" w:cs="Times New Roman"/>
          <w:color w:val="auto"/>
        </w:rPr>
        <w:t>（2）生活污水</w:t>
      </w:r>
    </w:p>
    <w:p w14:paraId="15C98652">
      <w:pPr>
        <w:bidi w:val="0"/>
        <w:rPr>
          <w:rFonts w:hint="eastAsia" w:ascii="Times New Roman" w:hAnsi="Times New Roman" w:eastAsia="宋体" w:cs="Times New Roman"/>
          <w:color w:val="auto"/>
          <w:lang w:eastAsia="zh-CN"/>
        </w:rPr>
      </w:pPr>
      <w:r>
        <w:rPr>
          <w:rFonts w:hint="default" w:ascii="Times New Roman" w:hAnsi="Times New Roman" w:cs="Times New Roman"/>
          <w:color w:val="auto"/>
          <w:kern w:val="1"/>
          <w:u w:val="none"/>
        </w:rPr>
        <w:t>生活污水经化粪池处理后</w:t>
      </w:r>
      <w:r>
        <w:rPr>
          <w:rFonts w:hint="eastAsia" w:cs="Times New Roman"/>
          <w:color w:val="auto"/>
          <w:kern w:val="1"/>
          <w:u w:val="none"/>
          <w:lang w:eastAsia="zh-CN"/>
        </w:rPr>
        <w:t>，</w:t>
      </w:r>
      <w:r>
        <w:rPr>
          <w:rFonts w:hint="default" w:ascii="Times New Roman" w:hAnsi="Times New Roman" w:cs="Times New Roman"/>
          <w:color w:val="auto"/>
          <w:kern w:val="1"/>
          <w:u w:val="none"/>
        </w:rPr>
        <w:t>通过红庙岭循环经济产业园区的市政污水管网纳入福州市洋里污水处理厂</w:t>
      </w:r>
      <w:r>
        <w:rPr>
          <w:rFonts w:hint="default" w:ascii="Times New Roman" w:hAnsi="Times New Roman" w:cs="Times New Roman"/>
          <w:color w:val="auto"/>
        </w:rPr>
        <w:t>。依据</w:t>
      </w:r>
      <w:r>
        <w:rPr>
          <w:rFonts w:hint="eastAsia" w:cs="Times New Roman"/>
          <w:color w:val="auto"/>
          <w:lang w:val="en-US" w:eastAsia="zh-CN"/>
        </w:rPr>
        <w:t>现有</w:t>
      </w:r>
      <w:r>
        <w:rPr>
          <w:rFonts w:hint="default" w:ascii="Times New Roman" w:hAnsi="Times New Roman" w:cs="Times New Roman"/>
          <w:color w:val="auto"/>
        </w:rPr>
        <w:t>工程竣工环保验收监测报告（</w:t>
      </w:r>
      <w:r>
        <w:rPr>
          <w:rFonts w:hint="eastAsia" w:cs="Times New Roman"/>
          <w:color w:val="auto"/>
          <w:lang w:eastAsia="zh-CN"/>
        </w:rPr>
        <w:t>《</w:t>
      </w:r>
      <w:r>
        <w:rPr>
          <w:rFonts w:hint="default" w:ascii="Times New Roman" w:hAnsi="Times New Roman" w:cs="Times New Roman"/>
          <w:color w:val="auto"/>
        </w:rPr>
        <w:t>福州市红庙岭垃圾焚烧发电厂飞灰稳定化预处理扩建工程BOT项目竣工环境保护验收监测报告</w:t>
      </w:r>
      <w:r>
        <w:rPr>
          <w:rFonts w:hint="eastAsia" w:cs="Times New Roman"/>
          <w:color w:val="auto"/>
          <w:lang w:eastAsia="zh-CN"/>
        </w:rPr>
        <w:t>》</w:t>
      </w:r>
      <w:r>
        <w:rPr>
          <w:rFonts w:hint="eastAsia" w:cs="Times New Roman"/>
          <w:color w:val="auto"/>
          <w:lang w:val="en-US" w:eastAsia="zh-CN"/>
        </w:rPr>
        <w:t>2020年3月</w:t>
      </w:r>
      <w:r>
        <w:rPr>
          <w:rFonts w:hint="default" w:ascii="Times New Roman" w:hAnsi="Times New Roman" w:cs="Times New Roman"/>
          <w:color w:val="auto"/>
        </w:rPr>
        <w:t>）：验收监测时</w:t>
      </w:r>
      <w:r>
        <w:rPr>
          <w:rFonts w:hint="eastAsia" w:cs="Times New Roman"/>
          <w:color w:val="auto"/>
          <w:lang w:val="en-US" w:eastAsia="zh-CN"/>
        </w:rPr>
        <w:t>员工</w:t>
      </w:r>
      <w:r>
        <w:rPr>
          <w:rFonts w:hint="default" w:ascii="Times New Roman" w:hAnsi="Times New Roman" w:cs="Times New Roman"/>
          <w:color w:val="auto"/>
        </w:rPr>
        <w:t>10人，项目现有</w:t>
      </w:r>
      <w:r>
        <w:rPr>
          <w:rFonts w:hint="eastAsia" w:cs="Times New Roman"/>
          <w:color w:val="auto"/>
          <w:lang w:val="en-US" w:eastAsia="zh-CN"/>
        </w:rPr>
        <w:t>员工仍为</w:t>
      </w:r>
      <w:r>
        <w:rPr>
          <w:rFonts w:hint="default" w:ascii="Times New Roman" w:hAnsi="Times New Roman" w:cs="Times New Roman"/>
          <w:color w:val="auto"/>
        </w:rPr>
        <w:t>10人，未有变化，因此没有新增污染源，生活用水水量无变化，故本次验收未对生活污水进行监测。根据</w:t>
      </w:r>
      <w:r>
        <w:rPr>
          <w:rFonts w:hint="eastAsia" w:cs="Times New Roman"/>
          <w:color w:val="auto"/>
          <w:lang w:val="en-US" w:eastAsia="zh-CN"/>
        </w:rPr>
        <w:t>现有</w:t>
      </w:r>
      <w:r>
        <w:rPr>
          <w:rFonts w:hint="default" w:ascii="Times New Roman" w:hAnsi="Times New Roman" w:cs="Times New Roman"/>
          <w:color w:val="auto"/>
        </w:rPr>
        <w:t>工程的验收监测报告监测结果：pH值范围为7.82-7.99，SS日均最大值为58mg/L，COD日均最大值为47mg/L，BOD</w:t>
      </w:r>
      <w:r>
        <w:rPr>
          <w:rFonts w:hint="default" w:ascii="Times New Roman" w:hAnsi="Times New Roman" w:cs="Times New Roman"/>
          <w:color w:val="auto"/>
          <w:vertAlign w:val="subscript"/>
        </w:rPr>
        <w:t>5</w:t>
      </w:r>
      <w:r>
        <w:rPr>
          <w:rFonts w:hint="default" w:ascii="Times New Roman" w:hAnsi="Times New Roman" w:cs="Times New Roman"/>
          <w:color w:val="auto"/>
        </w:rPr>
        <w:t>日均最大值为12.9mg/L，动植物油日均最大值为1.21mg/L</w:t>
      </w:r>
      <w:r>
        <w:rPr>
          <w:rFonts w:hint="eastAsia" w:cs="Times New Roman"/>
          <w:color w:val="auto"/>
          <w:lang w:eastAsia="zh-CN"/>
        </w:rPr>
        <w:t>，</w:t>
      </w:r>
      <w:r>
        <w:rPr>
          <w:rFonts w:hint="eastAsia" w:cs="Times New Roman"/>
          <w:color w:val="auto"/>
          <w:lang w:val="en-US" w:eastAsia="zh-CN"/>
        </w:rPr>
        <w:t>可以满足</w:t>
      </w:r>
      <w:r>
        <w:rPr>
          <w:rFonts w:hint="eastAsia" w:ascii="Times New Roman" w:hAnsi="Times New Roman"/>
          <w:color w:val="auto"/>
          <w:u w:val="none"/>
        </w:rPr>
        <w:t>《污水综合排放标准》</w:t>
      </w:r>
      <w:r>
        <w:rPr>
          <w:rFonts w:hint="eastAsia" w:ascii="Times New Roman" w:hAnsi="Times New Roman"/>
          <w:color w:val="auto"/>
          <w:u w:val="none"/>
          <w:lang w:val="en-US" w:eastAsia="zh-CN"/>
        </w:rPr>
        <w:t>表4中</w:t>
      </w:r>
      <w:r>
        <w:rPr>
          <w:rFonts w:hint="eastAsia" w:ascii="Times New Roman" w:hAnsi="Times New Roman"/>
          <w:color w:val="auto"/>
          <w:u w:val="none"/>
        </w:rPr>
        <w:t>的三级排放</w:t>
      </w:r>
      <w:r>
        <w:rPr>
          <w:rFonts w:hint="eastAsia" w:ascii="Times New Roman" w:hAnsi="Times New Roman"/>
          <w:color w:val="auto"/>
          <w:u w:val="none"/>
          <w:lang w:val="en-US" w:eastAsia="zh-CN"/>
        </w:rPr>
        <w:t>限值要求，氨氮</w:t>
      </w:r>
      <w:r>
        <w:rPr>
          <w:rFonts w:hint="default" w:ascii="Times New Roman" w:hAnsi="Times New Roman" w:cs="Times New Roman"/>
          <w:color w:val="auto"/>
        </w:rPr>
        <w:t>日均最大值为37.3mg/L，</w:t>
      </w:r>
      <w:r>
        <w:rPr>
          <w:rFonts w:hint="eastAsia" w:ascii="Times New Roman" w:hAnsi="Times New Roman" w:cs="Times New Roman"/>
          <w:color w:val="auto"/>
          <w:lang w:val="en-US" w:eastAsia="zh-CN"/>
        </w:rPr>
        <w:t>可以满足《污水排入城镇下水道水质标准》（GB/T31962-2015）表1排放限值要求</w:t>
      </w:r>
      <w:r>
        <w:rPr>
          <w:rFonts w:hint="eastAsia" w:ascii="Times New Roman" w:hAnsi="Times New Roman"/>
          <w:color w:val="auto"/>
          <w:u w:val="none"/>
          <w:lang w:eastAsia="zh-CN"/>
        </w:rPr>
        <w:t>。</w:t>
      </w:r>
    </w:p>
    <w:p w14:paraId="67AC210A">
      <w:pPr>
        <w:pStyle w:val="5"/>
        <w:bidi w:val="0"/>
        <w:rPr>
          <w:rFonts w:hint="default" w:ascii="Times New Roman" w:hAnsi="Times New Roman" w:cs="Times New Roman"/>
          <w:color w:val="auto"/>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"9.2.1.1" </w:instrText>
      </w:r>
      <w:r>
        <w:rPr>
          <w:rFonts w:hint="default" w:ascii="Times New Roman" w:hAnsi="Times New Roman" w:cs="Times New Roman"/>
          <w:color w:val="auto"/>
        </w:rPr>
        <w:fldChar w:fldCharType="separate"/>
      </w:r>
      <w:r>
        <w:rPr>
          <w:rFonts w:hint="default" w:ascii="Times New Roman" w:hAnsi="Times New Roman" w:cs="Times New Roman"/>
          <w:color w:val="auto"/>
        </w:rPr>
        <w:t>9.2.</w:t>
      </w:r>
      <w:r>
        <w:rPr>
          <w:rFonts w:hint="default" w:ascii="Times New Roman" w:hAnsi="Times New Roman" w:cs="Times New Roman"/>
          <w:color w:val="auto"/>
          <w:lang w:val="en-US" w:eastAsia="zh-CN"/>
        </w:rPr>
        <w:t>1</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fldChar w:fldCharType="end"/>
      </w:r>
      <w:r>
        <w:rPr>
          <w:rFonts w:hint="default" w:ascii="Times New Roman" w:hAnsi="Times New Roman" w:cs="Times New Roman"/>
          <w:color w:val="auto"/>
        </w:rPr>
        <w:t>废气</w:t>
      </w:r>
    </w:p>
    <w:p w14:paraId="1513259E">
      <w:pPr>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废气</w:t>
      </w:r>
      <w:r>
        <w:rPr>
          <w:rFonts w:hint="default" w:ascii="Times New Roman" w:hAnsi="Times New Roman" w:cs="Times New Roman"/>
          <w:color w:val="auto"/>
          <w:highlight w:val="none"/>
        </w:rPr>
        <w:t>监测时气象参数记录表见表9</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由于</w:t>
      </w:r>
      <w:r>
        <w:rPr>
          <w:rFonts w:hint="default" w:ascii="Times New Roman" w:hAnsi="Times New Roman" w:cs="Times New Roman"/>
          <w:color w:val="auto"/>
        </w:rPr>
        <w:t>飞灰的贮存设施和输送、处理设备均采取密闭措施</w:t>
      </w:r>
      <w:r>
        <w:rPr>
          <w:rFonts w:hint="default" w:ascii="Times New Roman" w:hAnsi="Times New Roman" w:cs="Times New Roman"/>
          <w:color w:val="auto"/>
          <w:lang w:eastAsia="zh-CN"/>
        </w:rPr>
        <w:t>，</w:t>
      </w:r>
      <w:r>
        <w:rPr>
          <w:rFonts w:hint="default" w:ascii="Times New Roman" w:hAnsi="Times New Roman" w:cs="Times New Roman"/>
          <w:color w:val="auto"/>
        </w:rPr>
        <w:t>飞灰筒仓-给料机、给料机-搅拌机各接口均为全封闭式结构</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不具备进口采样条件，无法监测进口浓度，故本次验收仅对排气筒出口浓度及速率进行监测，</w:t>
      </w:r>
      <w:r>
        <w:rPr>
          <w:rFonts w:hint="default" w:ascii="Times New Roman" w:hAnsi="Times New Roman" w:cs="Times New Roman"/>
          <w:color w:val="auto"/>
          <w:highlight w:val="none"/>
        </w:rPr>
        <w:t>颗粒物</w:t>
      </w:r>
      <w:r>
        <w:rPr>
          <w:rFonts w:hint="default" w:ascii="Times New Roman" w:hAnsi="Times New Roman" w:cs="Times New Roman"/>
          <w:color w:val="auto"/>
          <w:highlight w:val="none"/>
          <w:lang w:val="en-US" w:eastAsia="zh-CN"/>
        </w:rPr>
        <w:t>有组织</w:t>
      </w:r>
      <w:r>
        <w:rPr>
          <w:rFonts w:hint="default" w:ascii="Times New Roman" w:hAnsi="Times New Roman" w:cs="Times New Roman"/>
          <w:color w:val="auto"/>
          <w:highlight w:val="none"/>
        </w:rPr>
        <w:t>监测结果见表9</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2，无组织监测结果见表9.2-3，</w:t>
      </w:r>
      <w:r>
        <w:rPr>
          <w:rFonts w:hint="default" w:ascii="Times New Roman" w:hAnsi="Times New Roman" w:cs="Times New Roman"/>
          <w:color w:val="auto"/>
          <w:highlight w:val="none"/>
        </w:rPr>
        <w:t>验收监测期间，颗粒物</w:t>
      </w:r>
      <w:r>
        <w:rPr>
          <w:rFonts w:hint="default" w:ascii="Times New Roman" w:hAnsi="Times New Roman" w:cs="Times New Roman"/>
          <w:color w:val="auto"/>
          <w:highlight w:val="none"/>
          <w:lang w:val="en-US" w:eastAsia="zh-CN"/>
        </w:rPr>
        <w:t>有组织</w:t>
      </w:r>
      <w:r>
        <w:rPr>
          <w:rFonts w:hint="default" w:ascii="Times New Roman" w:hAnsi="Times New Roman" w:cs="Times New Roman"/>
          <w:color w:val="auto"/>
          <w:highlight w:val="none"/>
        </w:rPr>
        <w:t>排放浓度最大为</w:t>
      </w:r>
      <w:r>
        <w:rPr>
          <w:rFonts w:hint="default" w:ascii="Times New Roman" w:hAnsi="Times New Roman" w:cs="Times New Roman"/>
          <w:color w:val="auto"/>
          <w:highlight w:val="none"/>
          <w:lang w:val="en-US" w:eastAsia="zh-CN"/>
        </w:rPr>
        <w:t>4.0</w:t>
      </w:r>
      <w:r>
        <w:rPr>
          <w:rFonts w:hint="default" w:ascii="Times New Roman" w:hAnsi="Times New Roman" w:cs="Times New Roman"/>
          <w:color w:val="auto"/>
          <w:highlight w:val="none"/>
        </w:rPr>
        <w:t>mg/</w:t>
      </w:r>
      <w:r>
        <w:rPr>
          <w:rFonts w:hint="default" w:ascii="Times New Roman" w:hAnsi="Times New Roman" w:cs="Times New Roman"/>
          <w:color w:val="auto"/>
          <w:highlight w:val="none"/>
          <w:lang w:val="en-US" w:eastAsia="zh-CN"/>
        </w:rPr>
        <w:t>m³</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最大排放速率为</w:t>
      </w:r>
      <w:r>
        <w:rPr>
          <w:rFonts w:hint="default" w:ascii="Times New Roman" w:hAnsi="Times New Roman" w:cs="Times New Roman"/>
          <w:color w:val="auto"/>
          <w:lang w:val="en-US" w:eastAsia="zh-CN"/>
        </w:rPr>
        <w:t>4.1×10</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vertAlign w:val="baseline"/>
          <w:lang w:val="en-US" w:eastAsia="zh-CN"/>
        </w:rPr>
        <w:t>kg/h，可以</w:t>
      </w:r>
      <w:r>
        <w:rPr>
          <w:rFonts w:hint="default" w:ascii="Times New Roman" w:hAnsi="Times New Roman" w:cs="Times New Roman"/>
          <w:color w:val="auto"/>
          <w:highlight w:val="none"/>
        </w:rPr>
        <w:t>满足《大气污染物综合排放标准》(</w:t>
      </w:r>
      <w:r>
        <w:rPr>
          <w:rFonts w:hint="eastAsia" w:ascii="Times New Roman" w:hAnsi="Times New Roman" w:cs="Times New Roman"/>
          <w:color w:val="auto"/>
          <w:highlight w:val="none"/>
          <w:lang w:eastAsia="zh-CN"/>
        </w:rPr>
        <w:t>GB16297—1996</w:t>
      </w:r>
      <w:r>
        <w:rPr>
          <w:rFonts w:hint="default" w:ascii="Times New Roman" w:hAnsi="Times New Roman" w:cs="Times New Roman"/>
          <w:color w:val="auto"/>
          <w:highlight w:val="none"/>
        </w:rPr>
        <w:t>)表2</w:t>
      </w:r>
      <w:r>
        <w:rPr>
          <w:rFonts w:hint="default" w:ascii="Times New Roman" w:hAnsi="Times New Roman" w:cs="Times New Roman"/>
          <w:color w:val="auto"/>
          <w:highlight w:val="none"/>
          <w:lang w:val="en-US" w:eastAsia="zh-CN"/>
        </w:rPr>
        <w:t>有</w:t>
      </w:r>
      <w:r>
        <w:rPr>
          <w:rFonts w:hint="default" w:ascii="Times New Roman" w:hAnsi="Times New Roman" w:cs="Times New Roman"/>
          <w:color w:val="auto"/>
          <w:highlight w:val="none"/>
        </w:rPr>
        <w:t>组织排放限值要求</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无组织最大排放浓度为</w:t>
      </w:r>
      <w:r>
        <w:rPr>
          <w:rFonts w:hint="default" w:ascii="Times New Roman" w:hAnsi="Times New Roman" w:cs="Times New Roman"/>
          <w:color w:val="auto"/>
          <w:highlight w:val="none"/>
        </w:rPr>
        <w:t>0.2</w:t>
      </w:r>
      <w:r>
        <w:rPr>
          <w:rFonts w:hint="eastAsia" w:cs="Times New Roman"/>
          <w:color w:val="auto"/>
          <w:highlight w:val="none"/>
          <w:lang w:val="en-US" w:eastAsia="zh-CN"/>
        </w:rPr>
        <w:t>59</w:t>
      </w:r>
      <w:r>
        <w:rPr>
          <w:rFonts w:hint="default" w:ascii="Times New Roman" w:hAnsi="Times New Roman" w:cs="Times New Roman"/>
          <w:color w:val="auto"/>
          <w:highlight w:val="none"/>
        </w:rPr>
        <w:t>mg/</w:t>
      </w:r>
      <w:r>
        <w:rPr>
          <w:rFonts w:hint="default" w:ascii="Times New Roman" w:hAnsi="Times New Roman" w:cs="Times New Roman"/>
          <w:color w:val="auto"/>
          <w:highlight w:val="none"/>
          <w:lang w:val="en-US" w:eastAsia="zh-CN"/>
        </w:rPr>
        <w:t>m³</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可以</w:t>
      </w:r>
      <w:r>
        <w:rPr>
          <w:rFonts w:hint="default" w:ascii="Times New Roman" w:hAnsi="Times New Roman" w:cs="Times New Roman"/>
          <w:color w:val="auto"/>
          <w:highlight w:val="none"/>
        </w:rPr>
        <w:t>满足《大气污染物综合排放标准》(</w:t>
      </w:r>
      <w:r>
        <w:rPr>
          <w:rFonts w:hint="eastAsia" w:ascii="Times New Roman" w:hAnsi="Times New Roman" w:cs="Times New Roman"/>
          <w:color w:val="auto"/>
          <w:highlight w:val="none"/>
          <w:lang w:eastAsia="zh-CN"/>
        </w:rPr>
        <w:t>GB16297—1996</w:t>
      </w:r>
      <w:r>
        <w:rPr>
          <w:rFonts w:hint="default" w:ascii="Times New Roman" w:hAnsi="Times New Roman" w:cs="Times New Roman"/>
          <w:color w:val="auto"/>
          <w:highlight w:val="none"/>
        </w:rPr>
        <w:t>)表2</w:t>
      </w:r>
      <w:r>
        <w:rPr>
          <w:rFonts w:hint="default" w:ascii="Times New Roman" w:hAnsi="Times New Roman" w:cs="Times New Roman"/>
          <w:color w:val="auto"/>
          <w:highlight w:val="none"/>
          <w:lang w:val="en-US" w:eastAsia="zh-CN"/>
        </w:rPr>
        <w:t>无</w:t>
      </w:r>
      <w:r>
        <w:rPr>
          <w:rFonts w:hint="default" w:ascii="Times New Roman" w:hAnsi="Times New Roman" w:cs="Times New Roman"/>
          <w:color w:val="auto"/>
          <w:highlight w:val="none"/>
        </w:rPr>
        <w:t>组织排放监控浓度限值要求。</w:t>
      </w:r>
    </w:p>
    <w:p w14:paraId="061D06C5">
      <w:pPr>
        <w:pStyle w:val="21"/>
        <w:bidi w:val="0"/>
        <w:rPr>
          <w:rFonts w:hint="default"/>
          <w:color w:val="auto"/>
        </w:rPr>
      </w:pPr>
      <w:r>
        <w:rPr>
          <w:rFonts w:hint="default"/>
          <w:color w:val="auto"/>
        </w:rPr>
        <w:t>表9</w:t>
      </w:r>
      <w:r>
        <w:rPr>
          <w:rFonts w:hint="default"/>
          <w:color w:val="auto"/>
          <w:lang w:val="en-US" w:eastAsia="zh-CN"/>
        </w:rPr>
        <w:t>.2</w:t>
      </w:r>
      <w:r>
        <w:rPr>
          <w:rFonts w:hint="default"/>
          <w:color w:val="auto"/>
        </w:rPr>
        <w:t>-</w:t>
      </w:r>
      <w:r>
        <w:rPr>
          <w:rFonts w:hint="default"/>
          <w:color w:val="auto"/>
          <w:lang w:val="en-US" w:eastAsia="zh-CN"/>
        </w:rPr>
        <w:t>1</w:t>
      </w:r>
      <w:r>
        <w:rPr>
          <w:rFonts w:hint="default"/>
          <w:color w:val="auto"/>
        </w:rPr>
        <w:t>气象参数表</w:t>
      </w:r>
    </w:p>
    <w:tbl>
      <w:tblPr>
        <w:tblStyle w:val="14"/>
        <w:tblW w:w="9071"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207"/>
        <w:gridCol w:w="1389"/>
        <w:gridCol w:w="1167"/>
        <w:gridCol w:w="1076"/>
        <w:gridCol w:w="1390"/>
        <w:gridCol w:w="973"/>
        <w:gridCol w:w="1218"/>
        <w:gridCol w:w="651"/>
      </w:tblGrid>
      <w:tr w14:paraId="7FFC24C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1215" w:type="dxa"/>
            <w:tcBorders>
              <w:bottom w:val="single" w:color="000000" w:sz="4" w:space="0"/>
              <w:right w:val="single" w:color="000000" w:sz="4" w:space="0"/>
            </w:tcBorders>
            <w:shd w:val="clear" w:color="auto" w:fill="auto"/>
            <w:vAlign w:val="center"/>
          </w:tcPr>
          <w:p w14:paraId="79EF7B31">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采样日期</w:t>
            </w:r>
          </w:p>
        </w:tc>
        <w:tc>
          <w:tcPr>
            <w:tcW w:w="1420" w:type="dxa"/>
            <w:tcBorders>
              <w:left w:val="single" w:color="000000" w:sz="4" w:space="0"/>
              <w:bottom w:val="single" w:color="000000" w:sz="4" w:space="0"/>
              <w:right w:val="single" w:color="000000" w:sz="4" w:space="0"/>
            </w:tcBorders>
            <w:shd w:val="clear" w:color="auto" w:fill="auto"/>
            <w:vAlign w:val="center"/>
          </w:tcPr>
          <w:p w14:paraId="6D95389D">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采样时间</w:t>
            </w:r>
          </w:p>
        </w:tc>
        <w:tc>
          <w:tcPr>
            <w:tcW w:w="1190" w:type="dxa"/>
            <w:tcBorders>
              <w:left w:val="single" w:color="000000" w:sz="4" w:space="0"/>
              <w:bottom w:val="single" w:color="000000" w:sz="4" w:space="0"/>
              <w:right w:val="single" w:color="000000" w:sz="4" w:space="0"/>
            </w:tcBorders>
            <w:shd w:val="clear" w:color="auto" w:fill="auto"/>
            <w:vAlign w:val="center"/>
          </w:tcPr>
          <w:p w14:paraId="499140E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温度(℃)</w:t>
            </w:r>
          </w:p>
        </w:tc>
        <w:tc>
          <w:tcPr>
            <w:tcW w:w="1100" w:type="dxa"/>
            <w:tcBorders>
              <w:left w:val="single" w:color="000000" w:sz="4" w:space="0"/>
              <w:bottom w:val="single" w:color="000000" w:sz="4" w:space="0"/>
              <w:right w:val="single" w:color="000000" w:sz="4" w:space="0"/>
            </w:tcBorders>
            <w:shd w:val="clear" w:color="auto" w:fill="auto"/>
            <w:vAlign w:val="center"/>
          </w:tcPr>
          <w:p w14:paraId="6CEA68EB">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相对湿度(%)</w:t>
            </w:r>
          </w:p>
        </w:tc>
        <w:tc>
          <w:tcPr>
            <w:tcW w:w="1420" w:type="dxa"/>
            <w:tcBorders>
              <w:left w:val="single" w:color="000000" w:sz="4" w:space="0"/>
              <w:bottom w:val="single" w:color="000000" w:sz="4" w:space="0"/>
              <w:right w:val="single" w:color="000000" w:sz="4" w:space="0"/>
            </w:tcBorders>
            <w:shd w:val="clear" w:color="auto" w:fill="auto"/>
            <w:vAlign w:val="center"/>
          </w:tcPr>
          <w:p w14:paraId="56FDE17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气压(kPa)</w:t>
            </w:r>
          </w:p>
        </w:tc>
        <w:tc>
          <w:tcPr>
            <w:tcW w:w="990" w:type="dxa"/>
            <w:tcBorders>
              <w:left w:val="single" w:color="000000" w:sz="4" w:space="0"/>
              <w:bottom w:val="single" w:color="000000" w:sz="4" w:space="0"/>
              <w:right w:val="single" w:color="000000" w:sz="4" w:space="0"/>
            </w:tcBorders>
            <w:shd w:val="clear" w:color="auto" w:fill="auto"/>
            <w:vAlign w:val="center"/>
          </w:tcPr>
          <w:p w14:paraId="137C622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风速(m/s)</w:t>
            </w:r>
          </w:p>
        </w:tc>
        <w:tc>
          <w:tcPr>
            <w:tcW w:w="1242" w:type="dxa"/>
            <w:tcBorders>
              <w:left w:val="single" w:color="000000" w:sz="4" w:space="0"/>
              <w:bottom w:val="single" w:color="000000" w:sz="4" w:space="0"/>
              <w:right w:val="single" w:color="000000" w:sz="4" w:space="0"/>
            </w:tcBorders>
            <w:shd w:val="clear" w:color="auto" w:fill="auto"/>
            <w:vAlign w:val="center"/>
          </w:tcPr>
          <w:p w14:paraId="4B3BD8B1">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风向</w:t>
            </w:r>
          </w:p>
        </w:tc>
        <w:tc>
          <w:tcPr>
            <w:tcW w:w="665" w:type="dxa"/>
            <w:tcBorders>
              <w:left w:val="single" w:color="000000" w:sz="4" w:space="0"/>
              <w:bottom w:val="single" w:color="000000" w:sz="4" w:space="0"/>
            </w:tcBorders>
            <w:shd w:val="clear" w:color="auto" w:fill="auto"/>
            <w:vAlign w:val="center"/>
          </w:tcPr>
          <w:p w14:paraId="4009A1F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天气</w:t>
            </w:r>
          </w:p>
        </w:tc>
      </w:tr>
      <w:tr w14:paraId="443FF9C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1215" w:type="dxa"/>
            <w:tcBorders>
              <w:top w:val="single" w:color="000000" w:sz="4" w:space="0"/>
              <w:bottom w:val="single" w:color="000000" w:sz="4" w:space="0"/>
              <w:right w:val="single" w:color="000000" w:sz="4" w:space="0"/>
            </w:tcBorders>
            <w:shd w:val="clear" w:color="auto" w:fill="auto"/>
            <w:vAlign w:val="center"/>
          </w:tcPr>
          <w:p w14:paraId="7E873382">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2024.9.4</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1C86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47-14</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53</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B127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28.6-31.5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8D85">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57-61</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CA58E">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94.9-95.4</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5C85E">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1.4-1.6</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AE5A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西南220°-225°</w:t>
            </w:r>
          </w:p>
        </w:tc>
        <w:tc>
          <w:tcPr>
            <w:tcW w:w="665" w:type="dxa"/>
            <w:tcBorders>
              <w:top w:val="single" w:color="000000" w:sz="4" w:space="0"/>
              <w:left w:val="single" w:color="000000" w:sz="4" w:space="0"/>
              <w:bottom w:val="single" w:color="000000" w:sz="4" w:space="0"/>
            </w:tcBorders>
            <w:shd w:val="clear" w:color="auto" w:fill="auto"/>
            <w:vAlign w:val="center"/>
          </w:tcPr>
          <w:p w14:paraId="2C7B8A9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晴</w:t>
            </w:r>
          </w:p>
        </w:tc>
      </w:tr>
      <w:tr w14:paraId="5867310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1215" w:type="dxa"/>
            <w:tcBorders>
              <w:top w:val="single" w:color="000000" w:sz="4" w:space="0"/>
              <w:bottom w:val="single" w:color="000000" w:sz="4" w:space="0"/>
              <w:right w:val="single" w:color="000000" w:sz="4" w:space="0"/>
            </w:tcBorders>
            <w:shd w:val="clear" w:color="auto" w:fill="auto"/>
            <w:vAlign w:val="center"/>
          </w:tcPr>
          <w:p w14:paraId="7FB162DD">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2024.9.5</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C0E4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19-15</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04</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3BB21">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28.9-31.8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04C9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55-64</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2457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93.9-94.8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AD21A">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1.4-1.6</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5C86B">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西南225°-230°</w:t>
            </w:r>
          </w:p>
        </w:tc>
        <w:tc>
          <w:tcPr>
            <w:tcW w:w="665" w:type="dxa"/>
            <w:tcBorders>
              <w:top w:val="single" w:color="000000" w:sz="4" w:space="0"/>
              <w:left w:val="single" w:color="000000" w:sz="4" w:space="0"/>
              <w:bottom w:val="single" w:color="000000" w:sz="4" w:space="0"/>
            </w:tcBorders>
            <w:shd w:val="clear" w:color="auto" w:fill="auto"/>
            <w:vAlign w:val="center"/>
          </w:tcPr>
          <w:p w14:paraId="64B42B50">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晴</w:t>
            </w:r>
          </w:p>
        </w:tc>
      </w:tr>
      <w:tr w14:paraId="01520F4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1215" w:type="dxa"/>
            <w:tcBorders>
              <w:top w:val="single" w:color="000000" w:sz="4" w:space="0"/>
              <w:bottom w:val="single" w:color="000000" w:sz="4" w:space="0"/>
              <w:right w:val="single" w:color="000000" w:sz="4" w:space="0"/>
            </w:tcBorders>
            <w:shd w:val="clear" w:color="auto" w:fill="auto"/>
            <w:vAlign w:val="center"/>
          </w:tcPr>
          <w:p w14:paraId="488B27B6">
            <w:pPr>
              <w:pStyle w:val="23"/>
              <w:bidi w:val="0"/>
              <w:rPr>
                <w:rFonts w:hint="default"/>
                <w:color w:val="auto"/>
                <w:lang w:val="en-US" w:eastAsia="zh-CN"/>
              </w:rPr>
            </w:pPr>
            <w:r>
              <w:rPr>
                <w:color w:val="auto"/>
                <w:lang w:val="en-US" w:eastAsia="zh-CN"/>
              </w:rPr>
              <w:t>2024.10.10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11176">
            <w:pPr>
              <w:pStyle w:val="23"/>
              <w:bidi w:val="0"/>
              <w:rPr>
                <w:rFonts w:hint="default"/>
                <w:color w:val="auto"/>
                <w:lang w:val="en-US" w:eastAsia="zh-CN"/>
              </w:rPr>
            </w:pPr>
            <w:r>
              <w:rPr>
                <w:color w:val="auto"/>
                <w:lang w:val="en-US" w:eastAsia="zh-CN"/>
              </w:rPr>
              <w:t>10</w:t>
            </w:r>
            <w:r>
              <w:rPr>
                <w:rFonts w:hint="eastAsia"/>
                <w:color w:val="auto"/>
                <w:lang w:val="en-US" w:eastAsia="zh-CN"/>
              </w:rPr>
              <w:t>：</w:t>
            </w:r>
            <w:r>
              <w:rPr>
                <w:color w:val="auto"/>
                <w:lang w:val="en-US" w:eastAsia="zh-CN"/>
              </w:rPr>
              <w:t>00-15</w:t>
            </w:r>
            <w:r>
              <w:rPr>
                <w:rFonts w:hint="eastAsia"/>
                <w:color w:val="auto"/>
                <w:lang w:val="en-US" w:eastAsia="zh-CN"/>
              </w:rPr>
              <w:t>：</w:t>
            </w:r>
            <w:r>
              <w:rPr>
                <w:color w:val="auto"/>
                <w:lang w:val="en-US" w:eastAsia="zh-CN"/>
              </w:rPr>
              <w:t>03</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63C9F">
            <w:pPr>
              <w:pStyle w:val="23"/>
              <w:bidi w:val="0"/>
              <w:rPr>
                <w:rFonts w:hint="default"/>
                <w:color w:val="auto"/>
                <w:lang w:val="en-US" w:eastAsia="zh-CN"/>
              </w:rPr>
            </w:pPr>
            <w:r>
              <w:rPr>
                <w:color w:val="auto"/>
                <w:lang w:val="en-US" w:eastAsia="zh-CN"/>
              </w:rPr>
              <w:t>20.2-20.9</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492CC">
            <w:pPr>
              <w:pStyle w:val="23"/>
              <w:bidi w:val="0"/>
              <w:rPr>
                <w:rFonts w:hint="default"/>
                <w:color w:val="auto"/>
                <w:lang w:val="en-US" w:eastAsia="zh-CN"/>
              </w:rPr>
            </w:pPr>
            <w:r>
              <w:rPr>
                <w:color w:val="auto"/>
                <w:lang w:val="en-US" w:eastAsia="zh-CN"/>
              </w:rPr>
              <w:t>51-61</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3B1F">
            <w:pPr>
              <w:pStyle w:val="23"/>
              <w:bidi w:val="0"/>
              <w:rPr>
                <w:rFonts w:hint="default"/>
                <w:color w:val="auto"/>
                <w:lang w:val="en-US" w:eastAsia="zh-CN"/>
              </w:rPr>
            </w:pPr>
            <w:r>
              <w:rPr>
                <w:color w:val="auto"/>
                <w:lang w:val="en-US" w:eastAsia="zh-CN"/>
              </w:rPr>
              <w:t>95.0-95.3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850CF">
            <w:pPr>
              <w:pStyle w:val="23"/>
              <w:bidi w:val="0"/>
              <w:rPr>
                <w:rFonts w:hint="default"/>
                <w:color w:val="auto"/>
                <w:lang w:val="en-US" w:eastAsia="zh-CN"/>
              </w:rPr>
            </w:pPr>
            <w:r>
              <w:rPr>
                <w:color w:val="auto"/>
                <w:lang w:val="en-US" w:eastAsia="zh-CN"/>
              </w:rPr>
              <w:t>1.7-1.9</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A987C">
            <w:pPr>
              <w:pStyle w:val="23"/>
              <w:bidi w:val="0"/>
              <w:rPr>
                <w:rFonts w:hint="default"/>
                <w:color w:val="auto"/>
                <w:lang w:val="en-US" w:eastAsia="zh-CN"/>
              </w:rPr>
            </w:pPr>
            <w:r>
              <w:rPr>
                <w:color w:val="auto"/>
                <w:lang w:val="en-US" w:eastAsia="zh-CN"/>
              </w:rPr>
              <w:t>西南220°-230°</w:t>
            </w:r>
          </w:p>
        </w:tc>
        <w:tc>
          <w:tcPr>
            <w:tcW w:w="665" w:type="dxa"/>
            <w:tcBorders>
              <w:top w:val="single" w:color="000000" w:sz="4" w:space="0"/>
              <w:left w:val="single" w:color="000000" w:sz="4" w:space="0"/>
              <w:bottom w:val="single" w:color="000000" w:sz="4" w:space="0"/>
            </w:tcBorders>
            <w:shd w:val="clear" w:color="auto" w:fill="auto"/>
            <w:vAlign w:val="center"/>
          </w:tcPr>
          <w:p w14:paraId="363DA867">
            <w:pPr>
              <w:pStyle w:val="23"/>
              <w:bidi w:val="0"/>
              <w:rPr>
                <w:rFonts w:hint="default"/>
                <w:color w:val="auto"/>
                <w:lang w:val="en-US" w:eastAsia="zh-CN"/>
              </w:rPr>
            </w:pPr>
            <w:r>
              <w:rPr>
                <w:color w:val="auto"/>
                <w:lang w:val="en-US" w:eastAsia="zh-CN"/>
              </w:rPr>
              <w:t>晴</w:t>
            </w:r>
          </w:p>
        </w:tc>
      </w:tr>
      <w:tr w14:paraId="0E4C0B2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1215" w:type="dxa"/>
            <w:tcBorders>
              <w:top w:val="single" w:color="000000" w:sz="4" w:space="0"/>
              <w:right w:val="single" w:color="000000" w:sz="4" w:space="0"/>
            </w:tcBorders>
            <w:shd w:val="clear" w:color="auto" w:fill="auto"/>
            <w:vAlign w:val="center"/>
          </w:tcPr>
          <w:p w14:paraId="27801BBC">
            <w:pPr>
              <w:pStyle w:val="23"/>
              <w:bidi w:val="0"/>
              <w:rPr>
                <w:rFonts w:hint="default"/>
                <w:color w:val="auto"/>
                <w:lang w:val="en-US" w:eastAsia="zh-CN"/>
              </w:rPr>
            </w:pPr>
            <w:r>
              <w:rPr>
                <w:color w:val="auto"/>
                <w:lang w:val="en-US" w:eastAsia="zh-CN"/>
              </w:rPr>
              <w:t>2024.10.11</w:t>
            </w:r>
          </w:p>
        </w:tc>
        <w:tc>
          <w:tcPr>
            <w:tcW w:w="1420" w:type="dxa"/>
            <w:tcBorders>
              <w:top w:val="single" w:color="000000" w:sz="4" w:space="0"/>
              <w:left w:val="single" w:color="000000" w:sz="4" w:space="0"/>
              <w:right w:val="single" w:color="000000" w:sz="4" w:space="0"/>
            </w:tcBorders>
            <w:shd w:val="clear" w:color="auto" w:fill="auto"/>
            <w:vAlign w:val="center"/>
          </w:tcPr>
          <w:p w14:paraId="34F6E390">
            <w:pPr>
              <w:pStyle w:val="23"/>
              <w:bidi w:val="0"/>
              <w:rPr>
                <w:rFonts w:hint="default"/>
                <w:color w:val="auto"/>
                <w:lang w:val="en-US" w:eastAsia="zh-CN"/>
              </w:rPr>
            </w:pPr>
            <w:r>
              <w:rPr>
                <w:color w:val="auto"/>
                <w:lang w:val="en-US" w:eastAsia="zh-CN"/>
              </w:rPr>
              <w:t>10</w:t>
            </w:r>
            <w:r>
              <w:rPr>
                <w:rFonts w:hint="eastAsia"/>
                <w:color w:val="auto"/>
                <w:lang w:val="en-US" w:eastAsia="zh-CN"/>
              </w:rPr>
              <w:t>：</w:t>
            </w:r>
            <w:r>
              <w:rPr>
                <w:color w:val="auto"/>
                <w:lang w:val="en-US" w:eastAsia="zh-CN"/>
              </w:rPr>
              <w:t>32-15</w:t>
            </w:r>
            <w:r>
              <w:rPr>
                <w:rFonts w:hint="eastAsia"/>
                <w:color w:val="auto"/>
                <w:lang w:val="en-US" w:eastAsia="zh-CN"/>
              </w:rPr>
              <w:t>：</w:t>
            </w:r>
            <w:r>
              <w:rPr>
                <w:color w:val="auto"/>
                <w:lang w:val="en-US" w:eastAsia="zh-CN"/>
              </w:rPr>
              <w:t>34</w:t>
            </w:r>
          </w:p>
        </w:tc>
        <w:tc>
          <w:tcPr>
            <w:tcW w:w="1190" w:type="dxa"/>
            <w:tcBorders>
              <w:top w:val="single" w:color="000000" w:sz="4" w:space="0"/>
              <w:left w:val="single" w:color="000000" w:sz="4" w:space="0"/>
              <w:right w:val="single" w:color="000000" w:sz="4" w:space="0"/>
            </w:tcBorders>
            <w:shd w:val="clear" w:color="auto" w:fill="auto"/>
            <w:vAlign w:val="center"/>
          </w:tcPr>
          <w:p w14:paraId="57FA55B5">
            <w:pPr>
              <w:pStyle w:val="23"/>
              <w:bidi w:val="0"/>
              <w:rPr>
                <w:rFonts w:hint="default"/>
                <w:color w:val="auto"/>
                <w:lang w:val="en-US" w:eastAsia="zh-CN"/>
              </w:rPr>
            </w:pPr>
            <w:r>
              <w:rPr>
                <w:color w:val="auto"/>
                <w:lang w:val="en-US" w:eastAsia="zh-CN"/>
              </w:rPr>
              <w:t>21.4-22.1</w:t>
            </w:r>
          </w:p>
        </w:tc>
        <w:tc>
          <w:tcPr>
            <w:tcW w:w="1100" w:type="dxa"/>
            <w:tcBorders>
              <w:top w:val="single" w:color="000000" w:sz="4" w:space="0"/>
              <w:left w:val="single" w:color="000000" w:sz="4" w:space="0"/>
              <w:right w:val="single" w:color="000000" w:sz="4" w:space="0"/>
            </w:tcBorders>
            <w:shd w:val="clear" w:color="auto" w:fill="auto"/>
            <w:vAlign w:val="center"/>
          </w:tcPr>
          <w:p w14:paraId="064CA838">
            <w:pPr>
              <w:pStyle w:val="23"/>
              <w:bidi w:val="0"/>
              <w:rPr>
                <w:rFonts w:hint="default"/>
                <w:color w:val="auto"/>
                <w:lang w:val="en-US" w:eastAsia="zh-CN"/>
              </w:rPr>
            </w:pPr>
            <w:r>
              <w:rPr>
                <w:color w:val="auto"/>
                <w:lang w:val="en-US" w:eastAsia="zh-CN"/>
              </w:rPr>
              <w:t>56-63</w:t>
            </w:r>
          </w:p>
        </w:tc>
        <w:tc>
          <w:tcPr>
            <w:tcW w:w="1420" w:type="dxa"/>
            <w:tcBorders>
              <w:top w:val="single" w:color="000000" w:sz="4" w:space="0"/>
              <w:left w:val="single" w:color="000000" w:sz="4" w:space="0"/>
              <w:right w:val="single" w:color="000000" w:sz="4" w:space="0"/>
            </w:tcBorders>
            <w:shd w:val="clear" w:color="auto" w:fill="auto"/>
            <w:vAlign w:val="center"/>
          </w:tcPr>
          <w:p w14:paraId="10071F3A">
            <w:pPr>
              <w:pStyle w:val="23"/>
              <w:bidi w:val="0"/>
              <w:rPr>
                <w:rFonts w:hint="default"/>
                <w:color w:val="auto"/>
                <w:lang w:val="en-US" w:eastAsia="zh-CN"/>
              </w:rPr>
            </w:pPr>
            <w:r>
              <w:rPr>
                <w:color w:val="auto"/>
                <w:lang w:val="en-US" w:eastAsia="zh-CN"/>
              </w:rPr>
              <w:t>95.4-96.1</w:t>
            </w:r>
          </w:p>
        </w:tc>
        <w:tc>
          <w:tcPr>
            <w:tcW w:w="990" w:type="dxa"/>
            <w:tcBorders>
              <w:top w:val="single" w:color="000000" w:sz="4" w:space="0"/>
              <w:left w:val="single" w:color="000000" w:sz="4" w:space="0"/>
              <w:right w:val="single" w:color="000000" w:sz="4" w:space="0"/>
            </w:tcBorders>
            <w:shd w:val="clear" w:color="auto" w:fill="auto"/>
            <w:vAlign w:val="center"/>
          </w:tcPr>
          <w:p w14:paraId="12CEDCE6">
            <w:pPr>
              <w:pStyle w:val="23"/>
              <w:bidi w:val="0"/>
              <w:rPr>
                <w:rFonts w:hint="default"/>
                <w:color w:val="auto"/>
                <w:lang w:val="en-US" w:eastAsia="zh-CN"/>
              </w:rPr>
            </w:pPr>
            <w:r>
              <w:rPr>
                <w:color w:val="auto"/>
                <w:lang w:val="en-US" w:eastAsia="zh-CN"/>
              </w:rPr>
              <w:t>1.6-1.9</w:t>
            </w:r>
          </w:p>
        </w:tc>
        <w:tc>
          <w:tcPr>
            <w:tcW w:w="1242" w:type="dxa"/>
            <w:tcBorders>
              <w:top w:val="single" w:color="000000" w:sz="4" w:space="0"/>
              <w:left w:val="single" w:color="000000" w:sz="4" w:space="0"/>
              <w:right w:val="single" w:color="000000" w:sz="4" w:space="0"/>
            </w:tcBorders>
            <w:shd w:val="clear" w:color="auto" w:fill="auto"/>
            <w:vAlign w:val="center"/>
          </w:tcPr>
          <w:p w14:paraId="6E12D6B4">
            <w:pPr>
              <w:pStyle w:val="23"/>
              <w:bidi w:val="0"/>
              <w:rPr>
                <w:rFonts w:hint="default"/>
                <w:color w:val="auto"/>
                <w:lang w:val="en-US" w:eastAsia="zh-CN"/>
              </w:rPr>
            </w:pPr>
            <w:r>
              <w:rPr>
                <w:color w:val="auto"/>
                <w:lang w:val="en-US" w:eastAsia="zh-CN"/>
              </w:rPr>
              <w:t>西南220°-230°</w:t>
            </w:r>
          </w:p>
        </w:tc>
        <w:tc>
          <w:tcPr>
            <w:tcW w:w="665" w:type="dxa"/>
            <w:tcBorders>
              <w:top w:val="single" w:color="000000" w:sz="4" w:space="0"/>
              <w:left w:val="single" w:color="000000" w:sz="4" w:space="0"/>
            </w:tcBorders>
            <w:shd w:val="clear" w:color="auto" w:fill="auto"/>
            <w:vAlign w:val="center"/>
          </w:tcPr>
          <w:p w14:paraId="5F8950B2">
            <w:pPr>
              <w:pStyle w:val="23"/>
              <w:bidi w:val="0"/>
              <w:rPr>
                <w:rFonts w:hint="default"/>
                <w:color w:val="auto"/>
                <w:lang w:val="en-US" w:eastAsia="zh-CN"/>
              </w:rPr>
            </w:pPr>
            <w:r>
              <w:rPr>
                <w:color w:val="auto"/>
                <w:lang w:val="en-US" w:eastAsia="zh-CN"/>
              </w:rPr>
              <w:t>晴</w:t>
            </w:r>
          </w:p>
        </w:tc>
      </w:tr>
    </w:tbl>
    <w:p w14:paraId="1CA52AE6">
      <w:pPr>
        <w:pStyle w:val="21"/>
        <w:bidi w:val="0"/>
        <w:rPr>
          <w:rFonts w:hint="default"/>
          <w:color w:val="auto"/>
        </w:rPr>
      </w:pPr>
      <w:r>
        <w:rPr>
          <w:rFonts w:hint="default"/>
          <w:color w:val="auto"/>
        </w:rPr>
        <w:t>表9</w:t>
      </w:r>
      <w:r>
        <w:rPr>
          <w:rFonts w:hint="default"/>
          <w:color w:val="auto"/>
          <w:lang w:val="en-US" w:eastAsia="zh-CN"/>
        </w:rPr>
        <w:t>.2</w:t>
      </w:r>
      <w:r>
        <w:rPr>
          <w:rFonts w:hint="default"/>
          <w:color w:val="auto"/>
        </w:rPr>
        <w:t>-</w:t>
      </w:r>
      <w:r>
        <w:rPr>
          <w:rFonts w:hint="default"/>
          <w:color w:val="auto"/>
          <w:lang w:val="en-US" w:eastAsia="zh-CN"/>
        </w:rPr>
        <w:t>2项目有组织</w:t>
      </w:r>
      <w:r>
        <w:rPr>
          <w:rFonts w:hint="default"/>
          <w:color w:val="auto"/>
        </w:rPr>
        <w:t>检测结果表(单位</w:t>
      </w:r>
      <w:r>
        <w:rPr>
          <w:rFonts w:hint="eastAsia"/>
          <w:color w:val="auto"/>
          <w:lang w:eastAsia="zh-CN"/>
        </w:rPr>
        <w:t>：</w:t>
      </w:r>
      <w:r>
        <w:rPr>
          <w:rFonts w:hint="default"/>
          <w:color w:val="auto"/>
        </w:rPr>
        <w:t>mg/</w:t>
      </w:r>
      <w:r>
        <w:rPr>
          <w:rFonts w:hint="default"/>
          <w:color w:val="auto"/>
          <w:lang w:val="en-US" w:eastAsia="zh-CN"/>
        </w:rPr>
        <w:t>m³</w:t>
      </w:r>
      <w:r>
        <w:rPr>
          <w:rFonts w:hint="default"/>
          <w:color w:val="auto"/>
        </w:rPr>
        <w:t>)</w:t>
      </w:r>
    </w:p>
    <w:tbl>
      <w:tblPr>
        <w:tblStyle w:val="14"/>
        <w:tblW w:w="9071"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4"/>
        <w:gridCol w:w="1211"/>
        <w:gridCol w:w="1327"/>
        <w:gridCol w:w="1193"/>
        <w:gridCol w:w="1319"/>
        <w:gridCol w:w="1450"/>
        <w:gridCol w:w="1487"/>
      </w:tblGrid>
      <w:tr w14:paraId="4427F0A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084" w:type="dxa"/>
            <w:tcBorders>
              <w:bottom w:val="single" w:color="000000" w:sz="4" w:space="0"/>
              <w:right w:val="single" w:color="000000" w:sz="4" w:space="0"/>
            </w:tcBorders>
            <w:shd w:val="clear" w:color="auto" w:fill="auto"/>
            <w:vAlign w:val="center"/>
          </w:tcPr>
          <w:p w14:paraId="734E6764">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采样日期</w:t>
            </w:r>
          </w:p>
        </w:tc>
        <w:tc>
          <w:tcPr>
            <w:tcW w:w="1211" w:type="dxa"/>
            <w:tcBorders>
              <w:left w:val="single" w:color="000000" w:sz="4" w:space="0"/>
              <w:bottom w:val="single" w:color="000000" w:sz="4" w:space="0"/>
              <w:right w:val="single" w:color="000000" w:sz="4" w:space="0"/>
            </w:tcBorders>
            <w:shd w:val="clear" w:color="auto" w:fill="auto"/>
            <w:vAlign w:val="center"/>
          </w:tcPr>
          <w:p w14:paraId="72C1452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采样点位</w:t>
            </w:r>
          </w:p>
        </w:tc>
        <w:tc>
          <w:tcPr>
            <w:tcW w:w="1327" w:type="dxa"/>
            <w:tcBorders>
              <w:left w:val="single" w:color="000000" w:sz="4" w:space="0"/>
              <w:bottom w:val="single" w:color="000000" w:sz="4" w:space="0"/>
              <w:right w:val="single" w:color="000000" w:sz="4" w:space="0"/>
            </w:tcBorders>
            <w:shd w:val="clear" w:color="auto" w:fill="auto"/>
            <w:vAlign w:val="center"/>
          </w:tcPr>
          <w:p w14:paraId="1D484D3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检测项目</w:t>
            </w:r>
          </w:p>
        </w:tc>
        <w:tc>
          <w:tcPr>
            <w:tcW w:w="1193" w:type="dxa"/>
            <w:tcBorders>
              <w:left w:val="single" w:color="000000" w:sz="4" w:space="0"/>
              <w:bottom w:val="single" w:color="000000" w:sz="4" w:space="0"/>
              <w:right w:val="single" w:color="000000" w:sz="4" w:space="0"/>
            </w:tcBorders>
            <w:shd w:val="clear" w:color="auto" w:fill="auto"/>
            <w:vAlign w:val="center"/>
          </w:tcPr>
          <w:p w14:paraId="6CCAA6D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检测频次</w:t>
            </w:r>
          </w:p>
        </w:tc>
        <w:tc>
          <w:tcPr>
            <w:tcW w:w="1319" w:type="dxa"/>
            <w:tcBorders>
              <w:left w:val="single" w:color="000000" w:sz="4" w:space="0"/>
              <w:bottom w:val="single" w:color="000000" w:sz="4" w:space="0"/>
              <w:right w:val="single" w:color="000000" w:sz="4" w:space="0"/>
            </w:tcBorders>
            <w:shd w:val="clear" w:color="auto" w:fill="auto"/>
            <w:vAlign w:val="center"/>
          </w:tcPr>
          <w:p w14:paraId="02A2EB7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实测浓度(mg/m³)</w:t>
            </w:r>
          </w:p>
        </w:tc>
        <w:tc>
          <w:tcPr>
            <w:tcW w:w="1450" w:type="dxa"/>
            <w:tcBorders>
              <w:left w:val="single" w:color="000000" w:sz="4" w:space="0"/>
              <w:bottom w:val="single" w:color="000000" w:sz="4" w:space="0"/>
              <w:right w:val="single" w:color="000000" w:sz="4" w:space="0"/>
            </w:tcBorders>
            <w:shd w:val="clear" w:color="auto" w:fill="auto"/>
            <w:vAlign w:val="center"/>
          </w:tcPr>
          <w:p w14:paraId="1C6136D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标干排气量(m³/h)</w:t>
            </w:r>
          </w:p>
        </w:tc>
        <w:tc>
          <w:tcPr>
            <w:tcW w:w="1487" w:type="dxa"/>
            <w:tcBorders>
              <w:left w:val="single" w:color="000000" w:sz="4" w:space="0"/>
              <w:bottom w:val="single" w:color="000000" w:sz="4" w:space="0"/>
            </w:tcBorders>
            <w:shd w:val="clear" w:color="auto" w:fill="auto"/>
            <w:vAlign w:val="center"/>
          </w:tcPr>
          <w:p w14:paraId="459FAF97">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排放速率(kg/h)</w:t>
            </w:r>
          </w:p>
        </w:tc>
      </w:tr>
      <w:tr w14:paraId="71FDD63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84" w:type="dxa"/>
            <w:vMerge w:val="restart"/>
            <w:tcBorders>
              <w:top w:val="single" w:color="000000" w:sz="4" w:space="0"/>
              <w:bottom w:val="single" w:color="000000" w:sz="4" w:space="0"/>
              <w:right w:val="single" w:color="000000" w:sz="4" w:space="0"/>
            </w:tcBorders>
            <w:shd w:val="clear" w:color="auto" w:fill="auto"/>
            <w:vAlign w:val="center"/>
          </w:tcPr>
          <w:p w14:paraId="6BC60433">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2024.9.4</w:t>
            </w:r>
          </w:p>
        </w:tc>
        <w:tc>
          <w:tcPr>
            <w:tcW w:w="12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378C56">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DA001废气排气筒</w:t>
            </w: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E8BD15">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颗粒物(mg/m³)</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56AE2">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第一次</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19F65">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AEB1E">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1.04×10³</w:t>
            </w:r>
          </w:p>
        </w:tc>
        <w:tc>
          <w:tcPr>
            <w:tcW w:w="1487" w:type="dxa"/>
            <w:tcBorders>
              <w:top w:val="single" w:color="000000" w:sz="4" w:space="0"/>
              <w:left w:val="single" w:color="000000" w:sz="4" w:space="0"/>
              <w:bottom w:val="single" w:color="000000" w:sz="4" w:space="0"/>
            </w:tcBorders>
            <w:shd w:val="clear" w:color="auto" w:fill="auto"/>
            <w:vAlign w:val="center"/>
          </w:tcPr>
          <w:p w14:paraId="008AA81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3.7×10</w:t>
            </w:r>
            <w:r>
              <w:rPr>
                <w:rFonts w:hint="default" w:ascii="Times New Roman" w:hAnsi="Times New Roman" w:cs="Times New Roman"/>
                <w:color w:val="auto"/>
                <w:vertAlign w:val="superscript"/>
                <w:lang w:val="en-US" w:eastAsia="zh-CN"/>
              </w:rPr>
              <w:t>-</w:t>
            </w:r>
            <w:r>
              <w:rPr>
                <w:rFonts w:hint="default" w:ascii="Times New Roman" w:hAnsi="Times New Roman" w:cs="Times New Roman"/>
                <w:color w:val="auto"/>
                <w:lang w:val="en-US" w:eastAsia="zh-CN"/>
              </w:rPr>
              <w:t>³</w:t>
            </w:r>
          </w:p>
        </w:tc>
      </w:tr>
      <w:tr w14:paraId="7B30FE4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084" w:type="dxa"/>
            <w:vMerge w:val="continue"/>
            <w:tcBorders>
              <w:top w:val="single" w:color="000000" w:sz="4" w:space="0"/>
              <w:bottom w:val="single" w:color="000000" w:sz="4" w:space="0"/>
              <w:right w:val="single" w:color="000000" w:sz="4" w:space="0"/>
            </w:tcBorders>
            <w:shd w:val="clear" w:color="auto" w:fill="auto"/>
            <w:vAlign w:val="center"/>
          </w:tcPr>
          <w:p w14:paraId="7603E626">
            <w:pPr>
              <w:pStyle w:val="23"/>
              <w:bidi w:val="0"/>
              <w:rPr>
                <w:rFonts w:hint="default" w:ascii="Times New Roman" w:hAnsi="Times New Roman" w:cs="Times New Roman"/>
                <w:color w:val="auto"/>
              </w:rPr>
            </w:pPr>
          </w:p>
        </w:tc>
        <w:tc>
          <w:tcPr>
            <w:tcW w:w="12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23168">
            <w:pPr>
              <w:pStyle w:val="23"/>
              <w:bidi w:val="0"/>
              <w:rPr>
                <w:rFonts w:hint="default" w:ascii="Times New Roman" w:hAnsi="Times New Roman" w:cs="Times New Roman"/>
                <w:color w:val="auto"/>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28593F">
            <w:pPr>
              <w:pStyle w:val="23"/>
              <w:bidi w:val="0"/>
              <w:rPr>
                <w:rFonts w:hint="default" w:ascii="Times New Roman" w:hAnsi="Times New Roman" w:cs="Times New Roman"/>
                <w:color w:val="auto"/>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C25D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第二次</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0DD0">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4.0</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6B8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1.03×10³</w:t>
            </w:r>
          </w:p>
        </w:tc>
        <w:tc>
          <w:tcPr>
            <w:tcW w:w="1487" w:type="dxa"/>
            <w:tcBorders>
              <w:top w:val="single" w:color="000000" w:sz="4" w:space="0"/>
              <w:left w:val="single" w:color="000000" w:sz="4" w:space="0"/>
              <w:bottom w:val="single" w:color="000000" w:sz="4" w:space="0"/>
            </w:tcBorders>
            <w:shd w:val="clear" w:color="auto" w:fill="auto"/>
            <w:vAlign w:val="center"/>
          </w:tcPr>
          <w:p w14:paraId="396D7503">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4.1×10</w:t>
            </w:r>
            <w:r>
              <w:rPr>
                <w:rFonts w:hint="default" w:ascii="Times New Roman" w:hAnsi="Times New Roman" w:cs="Times New Roman"/>
                <w:color w:val="auto"/>
                <w:vertAlign w:val="superscript"/>
                <w:lang w:val="en-US" w:eastAsia="zh-CN"/>
              </w:rPr>
              <w:t>-</w:t>
            </w:r>
            <w:r>
              <w:rPr>
                <w:rFonts w:hint="default" w:ascii="Times New Roman" w:hAnsi="Times New Roman" w:cs="Times New Roman"/>
                <w:color w:val="auto"/>
                <w:lang w:val="en-US" w:eastAsia="zh-CN"/>
              </w:rPr>
              <w:t>³</w:t>
            </w:r>
          </w:p>
        </w:tc>
      </w:tr>
      <w:tr w14:paraId="4AA1F16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84" w:type="dxa"/>
            <w:vMerge w:val="continue"/>
            <w:tcBorders>
              <w:top w:val="single" w:color="000000" w:sz="4" w:space="0"/>
              <w:bottom w:val="single" w:color="000000" w:sz="4" w:space="0"/>
              <w:right w:val="single" w:color="000000" w:sz="4" w:space="0"/>
            </w:tcBorders>
            <w:shd w:val="clear" w:color="auto" w:fill="auto"/>
            <w:vAlign w:val="center"/>
          </w:tcPr>
          <w:p w14:paraId="2809E7BD">
            <w:pPr>
              <w:pStyle w:val="23"/>
              <w:bidi w:val="0"/>
              <w:rPr>
                <w:rFonts w:hint="default" w:ascii="Times New Roman" w:hAnsi="Times New Roman" w:cs="Times New Roman"/>
                <w:color w:val="auto"/>
              </w:rPr>
            </w:pPr>
          </w:p>
        </w:tc>
        <w:tc>
          <w:tcPr>
            <w:tcW w:w="12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EBC43">
            <w:pPr>
              <w:pStyle w:val="23"/>
              <w:bidi w:val="0"/>
              <w:rPr>
                <w:rFonts w:hint="default" w:ascii="Times New Roman" w:hAnsi="Times New Roman" w:cs="Times New Roman"/>
                <w:color w:val="auto"/>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6DF32">
            <w:pPr>
              <w:pStyle w:val="23"/>
              <w:bidi w:val="0"/>
              <w:rPr>
                <w:rFonts w:hint="default" w:ascii="Times New Roman" w:hAnsi="Times New Roman" w:cs="Times New Roman"/>
                <w:color w:val="auto"/>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4F6F4">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第三次</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D3101">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DD3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1.05×10³</w:t>
            </w:r>
          </w:p>
        </w:tc>
        <w:tc>
          <w:tcPr>
            <w:tcW w:w="1487" w:type="dxa"/>
            <w:tcBorders>
              <w:top w:val="single" w:color="000000" w:sz="4" w:space="0"/>
              <w:left w:val="single" w:color="000000" w:sz="4" w:space="0"/>
              <w:bottom w:val="single" w:color="000000" w:sz="4" w:space="0"/>
            </w:tcBorders>
            <w:shd w:val="clear" w:color="auto" w:fill="auto"/>
            <w:vAlign w:val="center"/>
          </w:tcPr>
          <w:p w14:paraId="152BE882">
            <w:pPr>
              <w:pStyle w:val="23"/>
              <w:bidi w:val="0"/>
              <w:rPr>
                <w:rFonts w:hint="default" w:ascii="Times New Roman" w:hAnsi="Times New Roman" w:cs="Times New Roman"/>
                <w:color w:val="auto"/>
                <w:lang w:val="en-US"/>
              </w:rPr>
            </w:pPr>
            <w:r>
              <w:rPr>
                <w:rFonts w:hint="default" w:ascii="Times New Roman" w:hAnsi="Times New Roman" w:cs="Times New Roman"/>
                <w:color w:val="auto"/>
                <w:lang w:val="en-US" w:eastAsia="zh-CN"/>
              </w:rPr>
              <w:t>4.0×10</w:t>
            </w:r>
            <w:r>
              <w:rPr>
                <w:rFonts w:hint="default" w:ascii="Times New Roman" w:hAnsi="Times New Roman" w:cs="Times New Roman"/>
                <w:color w:val="auto"/>
                <w:vertAlign w:val="superscript"/>
                <w:lang w:val="en-US" w:eastAsia="zh-CN"/>
              </w:rPr>
              <w:t>-3</w:t>
            </w:r>
          </w:p>
        </w:tc>
      </w:tr>
      <w:tr w14:paraId="06CDF5C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084" w:type="dxa"/>
            <w:vMerge w:val="continue"/>
            <w:tcBorders>
              <w:top w:val="single" w:color="000000" w:sz="4" w:space="0"/>
              <w:bottom w:val="single" w:color="000000" w:sz="4" w:space="0"/>
              <w:right w:val="single" w:color="000000" w:sz="4" w:space="0"/>
            </w:tcBorders>
            <w:shd w:val="clear" w:color="auto" w:fill="auto"/>
            <w:vAlign w:val="center"/>
          </w:tcPr>
          <w:p w14:paraId="567D3C37">
            <w:pPr>
              <w:pStyle w:val="23"/>
              <w:bidi w:val="0"/>
              <w:rPr>
                <w:rFonts w:hint="default" w:ascii="Times New Roman" w:hAnsi="Times New Roman" w:cs="Times New Roman"/>
                <w:color w:val="auto"/>
              </w:rPr>
            </w:pPr>
          </w:p>
        </w:tc>
        <w:tc>
          <w:tcPr>
            <w:tcW w:w="12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D9CE43">
            <w:pPr>
              <w:pStyle w:val="23"/>
              <w:bidi w:val="0"/>
              <w:rPr>
                <w:rFonts w:hint="default" w:ascii="Times New Roman" w:hAnsi="Times New Roman" w:cs="Times New Roman"/>
                <w:color w:val="auto"/>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8D0F0">
            <w:pPr>
              <w:pStyle w:val="23"/>
              <w:bidi w:val="0"/>
              <w:rPr>
                <w:rFonts w:hint="default" w:ascii="Times New Roman" w:hAnsi="Times New Roman" w:cs="Times New Roman"/>
                <w:color w:val="auto"/>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2CEC2">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平均值</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6DD8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C670C">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1.04×10³</w:t>
            </w:r>
          </w:p>
        </w:tc>
        <w:tc>
          <w:tcPr>
            <w:tcW w:w="1487" w:type="dxa"/>
            <w:tcBorders>
              <w:top w:val="single" w:color="000000" w:sz="4" w:space="0"/>
              <w:left w:val="single" w:color="000000" w:sz="4" w:space="0"/>
              <w:bottom w:val="single" w:color="000000" w:sz="4" w:space="0"/>
            </w:tcBorders>
            <w:shd w:val="clear" w:color="auto" w:fill="auto"/>
            <w:vAlign w:val="center"/>
          </w:tcPr>
          <w:p w14:paraId="445973B0">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4.0×10</w:t>
            </w:r>
            <w:r>
              <w:rPr>
                <w:rFonts w:hint="default" w:ascii="Times New Roman" w:hAnsi="Times New Roman" w:cs="Times New Roman"/>
                <w:color w:val="auto"/>
                <w:vertAlign w:val="superscript"/>
                <w:lang w:val="en-US" w:eastAsia="zh-CN"/>
              </w:rPr>
              <w:t>-</w:t>
            </w:r>
            <w:r>
              <w:rPr>
                <w:rFonts w:hint="default" w:ascii="Times New Roman" w:hAnsi="Times New Roman" w:cs="Times New Roman"/>
                <w:color w:val="auto"/>
                <w:lang w:val="en-US" w:eastAsia="zh-CN"/>
              </w:rPr>
              <w:t>³</w:t>
            </w:r>
          </w:p>
        </w:tc>
      </w:tr>
      <w:tr w14:paraId="7D202F6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084" w:type="dxa"/>
            <w:vMerge w:val="restart"/>
            <w:tcBorders>
              <w:top w:val="single" w:color="000000" w:sz="4" w:space="0"/>
              <w:bottom w:val="single" w:color="000000" w:sz="4" w:space="0"/>
              <w:right w:val="single" w:color="000000" w:sz="4" w:space="0"/>
            </w:tcBorders>
            <w:shd w:val="clear" w:color="auto" w:fill="auto"/>
            <w:vAlign w:val="center"/>
          </w:tcPr>
          <w:p w14:paraId="33CB047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2024.9.</w:t>
            </w:r>
            <w:r>
              <w:rPr>
                <w:rFonts w:hint="eastAsia" w:cs="Times New Roman"/>
                <w:color w:val="auto"/>
                <w:lang w:val="en-US" w:eastAsia="zh-CN"/>
              </w:rPr>
              <w:t>5</w:t>
            </w:r>
          </w:p>
        </w:tc>
        <w:tc>
          <w:tcPr>
            <w:tcW w:w="12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9211E">
            <w:pPr>
              <w:pStyle w:val="23"/>
              <w:bidi w:val="0"/>
              <w:rPr>
                <w:rFonts w:hint="default" w:ascii="Times New Roman" w:hAnsi="Times New Roman" w:cs="Times New Roman"/>
                <w:color w:val="auto"/>
              </w:rPr>
            </w:pPr>
          </w:p>
        </w:tc>
        <w:tc>
          <w:tcPr>
            <w:tcW w:w="13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2088DA">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颗粒物(mg/m³)</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A2D94">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第一次</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F29EE">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0BD7">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996</w:t>
            </w:r>
          </w:p>
        </w:tc>
        <w:tc>
          <w:tcPr>
            <w:tcW w:w="1487" w:type="dxa"/>
            <w:tcBorders>
              <w:top w:val="single" w:color="000000" w:sz="4" w:space="0"/>
              <w:left w:val="single" w:color="000000" w:sz="4" w:space="0"/>
              <w:bottom w:val="single" w:color="000000" w:sz="4" w:space="0"/>
            </w:tcBorders>
            <w:shd w:val="clear" w:color="auto" w:fill="auto"/>
            <w:vAlign w:val="center"/>
          </w:tcPr>
          <w:p w14:paraId="0B951BD2">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3.2×10</w:t>
            </w:r>
            <w:r>
              <w:rPr>
                <w:rFonts w:hint="default" w:ascii="Times New Roman" w:hAnsi="Times New Roman" w:cs="Times New Roman"/>
                <w:color w:val="auto"/>
                <w:vertAlign w:val="superscript"/>
                <w:lang w:val="en-US" w:eastAsia="zh-CN"/>
              </w:rPr>
              <w:t>-</w:t>
            </w:r>
            <w:r>
              <w:rPr>
                <w:rFonts w:hint="default" w:ascii="Times New Roman" w:hAnsi="Times New Roman" w:cs="Times New Roman"/>
                <w:color w:val="auto"/>
                <w:lang w:val="en-US" w:eastAsia="zh-CN"/>
              </w:rPr>
              <w:t>³</w:t>
            </w:r>
          </w:p>
        </w:tc>
      </w:tr>
      <w:tr w14:paraId="4E67364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84" w:type="dxa"/>
            <w:vMerge w:val="continue"/>
            <w:tcBorders>
              <w:top w:val="single" w:color="000000" w:sz="4" w:space="0"/>
              <w:bottom w:val="single" w:color="000000" w:sz="4" w:space="0"/>
              <w:right w:val="single" w:color="000000" w:sz="4" w:space="0"/>
            </w:tcBorders>
            <w:shd w:val="clear" w:color="auto" w:fill="auto"/>
            <w:vAlign w:val="center"/>
          </w:tcPr>
          <w:p w14:paraId="25B40059">
            <w:pPr>
              <w:pStyle w:val="23"/>
              <w:bidi w:val="0"/>
              <w:rPr>
                <w:rFonts w:hint="default" w:ascii="Times New Roman" w:hAnsi="Times New Roman" w:cs="Times New Roman"/>
                <w:color w:val="auto"/>
              </w:rPr>
            </w:pPr>
          </w:p>
        </w:tc>
        <w:tc>
          <w:tcPr>
            <w:tcW w:w="12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9DD848">
            <w:pPr>
              <w:pStyle w:val="23"/>
              <w:bidi w:val="0"/>
              <w:rPr>
                <w:rFonts w:hint="default" w:ascii="Times New Roman" w:hAnsi="Times New Roman" w:cs="Times New Roman"/>
                <w:color w:val="auto"/>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6D4B9">
            <w:pPr>
              <w:pStyle w:val="23"/>
              <w:bidi w:val="0"/>
              <w:rPr>
                <w:rFonts w:hint="default" w:ascii="Times New Roman" w:hAnsi="Times New Roman" w:cs="Times New Roman"/>
                <w:color w:val="auto"/>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B1952">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第二次</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16329">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3.7</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2B08D">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1.10×10³</w:t>
            </w:r>
          </w:p>
        </w:tc>
        <w:tc>
          <w:tcPr>
            <w:tcW w:w="1487" w:type="dxa"/>
            <w:tcBorders>
              <w:top w:val="single" w:color="000000" w:sz="4" w:space="0"/>
              <w:left w:val="single" w:color="000000" w:sz="4" w:space="0"/>
              <w:bottom w:val="single" w:color="000000" w:sz="4" w:space="0"/>
            </w:tcBorders>
            <w:shd w:val="clear" w:color="auto" w:fill="auto"/>
            <w:vAlign w:val="center"/>
          </w:tcPr>
          <w:p w14:paraId="58616EA6">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4.1×10</w:t>
            </w:r>
            <w:r>
              <w:rPr>
                <w:rFonts w:hint="default" w:ascii="Times New Roman" w:hAnsi="Times New Roman" w:cs="Times New Roman"/>
                <w:color w:val="auto"/>
                <w:vertAlign w:val="superscript"/>
                <w:lang w:val="en-US" w:eastAsia="zh-CN"/>
              </w:rPr>
              <w:t>-</w:t>
            </w:r>
            <w:r>
              <w:rPr>
                <w:rFonts w:hint="default" w:ascii="Times New Roman" w:hAnsi="Times New Roman" w:cs="Times New Roman"/>
                <w:color w:val="auto"/>
                <w:lang w:val="en-US" w:eastAsia="zh-CN"/>
              </w:rPr>
              <w:t>³</w:t>
            </w:r>
          </w:p>
        </w:tc>
      </w:tr>
      <w:tr w14:paraId="6D37155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084" w:type="dxa"/>
            <w:vMerge w:val="continue"/>
            <w:tcBorders>
              <w:top w:val="single" w:color="000000" w:sz="4" w:space="0"/>
              <w:bottom w:val="single" w:color="000000" w:sz="4" w:space="0"/>
              <w:right w:val="single" w:color="000000" w:sz="4" w:space="0"/>
            </w:tcBorders>
            <w:shd w:val="clear" w:color="auto" w:fill="auto"/>
            <w:vAlign w:val="center"/>
          </w:tcPr>
          <w:p w14:paraId="3CFB2B5B">
            <w:pPr>
              <w:pStyle w:val="23"/>
              <w:bidi w:val="0"/>
              <w:rPr>
                <w:rFonts w:hint="default" w:ascii="Times New Roman" w:hAnsi="Times New Roman" w:cs="Times New Roman"/>
                <w:color w:val="auto"/>
              </w:rPr>
            </w:pPr>
          </w:p>
        </w:tc>
        <w:tc>
          <w:tcPr>
            <w:tcW w:w="12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8FD07">
            <w:pPr>
              <w:pStyle w:val="23"/>
              <w:bidi w:val="0"/>
              <w:rPr>
                <w:rFonts w:hint="default" w:ascii="Times New Roman" w:hAnsi="Times New Roman" w:cs="Times New Roman"/>
                <w:color w:val="auto"/>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9869B">
            <w:pPr>
              <w:pStyle w:val="23"/>
              <w:bidi w:val="0"/>
              <w:rPr>
                <w:rFonts w:hint="default" w:ascii="Times New Roman" w:hAnsi="Times New Roman" w:cs="Times New Roman"/>
                <w:color w:val="auto"/>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FD4E4">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第三次</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46DF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3.9</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2CEF8">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1.05×10³</w:t>
            </w:r>
          </w:p>
        </w:tc>
        <w:tc>
          <w:tcPr>
            <w:tcW w:w="1487" w:type="dxa"/>
            <w:tcBorders>
              <w:top w:val="single" w:color="000000" w:sz="4" w:space="0"/>
              <w:left w:val="single" w:color="000000" w:sz="4" w:space="0"/>
              <w:bottom w:val="single" w:color="000000" w:sz="4" w:space="0"/>
            </w:tcBorders>
            <w:shd w:val="clear" w:color="auto" w:fill="auto"/>
            <w:vAlign w:val="center"/>
          </w:tcPr>
          <w:p w14:paraId="0856CC15">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4.1×10</w:t>
            </w:r>
            <w:r>
              <w:rPr>
                <w:rFonts w:hint="default" w:ascii="Times New Roman" w:hAnsi="Times New Roman" w:cs="Times New Roman"/>
                <w:color w:val="auto"/>
                <w:vertAlign w:val="superscript"/>
                <w:lang w:val="en-US" w:eastAsia="zh-CN"/>
              </w:rPr>
              <w:t>-</w:t>
            </w:r>
            <w:r>
              <w:rPr>
                <w:rFonts w:hint="default" w:ascii="Times New Roman" w:hAnsi="Times New Roman" w:cs="Times New Roman"/>
                <w:color w:val="auto"/>
                <w:lang w:val="en-US" w:eastAsia="zh-CN"/>
              </w:rPr>
              <w:t>³</w:t>
            </w:r>
          </w:p>
        </w:tc>
      </w:tr>
      <w:tr w14:paraId="3ABEAD4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084" w:type="dxa"/>
            <w:vMerge w:val="continue"/>
            <w:tcBorders>
              <w:top w:val="single" w:color="000000" w:sz="4" w:space="0"/>
              <w:bottom w:val="single" w:color="000000" w:sz="4" w:space="0"/>
              <w:right w:val="single" w:color="000000" w:sz="4" w:space="0"/>
            </w:tcBorders>
            <w:shd w:val="clear" w:color="auto" w:fill="auto"/>
            <w:vAlign w:val="center"/>
          </w:tcPr>
          <w:p w14:paraId="19D4BB48">
            <w:pPr>
              <w:pStyle w:val="23"/>
              <w:bidi w:val="0"/>
              <w:rPr>
                <w:rFonts w:hint="default" w:ascii="Times New Roman" w:hAnsi="Times New Roman" w:cs="Times New Roman"/>
                <w:color w:val="auto"/>
              </w:rPr>
            </w:pPr>
          </w:p>
        </w:tc>
        <w:tc>
          <w:tcPr>
            <w:tcW w:w="12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08E518">
            <w:pPr>
              <w:pStyle w:val="23"/>
              <w:bidi w:val="0"/>
              <w:rPr>
                <w:rFonts w:hint="default" w:ascii="Times New Roman" w:hAnsi="Times New Roman" w:cs="Times New Roman"/>
                <w:color w:val="auto"/>
              </w:rPr>
            </w:pPr>
          </w:p>
        </w:tc>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97863A">
            <w:pPr>
              <w:pStyle w:val="23"/>
              <w:bidi w:val="0"/>
              <w:rPr>
                <w:rFonts w:hint="default" w:ascii="Times New Roman" w:hAnsi="Times New Roman" w:cs="Times New Roman"/>
                <w:color w:val="auto"/>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F4714">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平均值</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E1E9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5388B">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1.05×10³</w:t>
            </w:r>
          </w:p>
        </w:tc>
        <w:tc>
          <w:tcPr>
            <w:tcW w:w="1487" w:type="dxa"/>
            <w:tcBorders>
              <w:top w:val="single" w:color="000000" w:sz="4" w:space="0"/>
              <w:left w:val="single" w:color="000000" w:sz="4" w:space="0"/>
              <w:bottom w:val="single" w:color="000000" w:sz="4" w:space="0"/>
            </w:tcBorders>
            <w:shd w:val="clear" w:color="auto" w:fill="auto"/>
            <w:vAlign w:val="center"/>
          </w:tcPr>
          <w:p w14:paraId="2024154F">
            <w:pPr>
              <w:pStyle w:val="23"/>
              <w:bidi w:val="0"/>
              <w:rPr>
                <w:rFonts w:hint="default" w:ascii="Times New Roman" w:hAnsi="Times New Roman" w:cs="Times New Roman"/>
                <w:color w:val="auto"/>
              </w:rPr>
            </w:pPr>
            <w:r>
              <w:rPr>
                <w:rFonts w:hint="default" w:ascii="Times New Roman" w:hAnsi="Times New Roman" w:cs="Times New Roman"/>
                <w:color w:val="auto"/>
                <w:lang w:val="en-US" w:eastAsia="zh-CN"/>
              </w:rPr>
              <w:t>3.8×10</w:t>
            </w:r>
            <w:r>
              <w:rPr>
                <w:rFonts w:hint="default" w:ascii="Times New Roman" w:hAnsi="Times New Roman" w:cs="Times New Roman"/>
                <w:color w:val="auto"/>
                <w:vertAlign w:val="superscript"/>
                <w:lang w:val="en-US" w:eastAsia="zh-CN"/>
              </w:rPr>
              <w:t>-</w:t>
            </w:r>
            <w:r>
              <w:rPr>
                <w:rFonts w:hint="default" w:ascii="Times New Roman" w:hAnsi="Times New Roman" w:cs="Times New Roman"/>
                <w:color w:val="auto"/>
                <w:lang w:val="en-US" w:eastAsia="zh-CN"/>
              </w:rPr>
              <w:t>³</w:t>
            </w:r>
          </w:p>
        </w:tc>
      </w:tr>
      <w:tr w14:paraId="6A46597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4815" w:type="dxa"/>
            <w:gridSpan w:val="4"/>
            <w:tcBorders>
              <w:top w:val="single" w:color="000000" w:sz="4" w:space="0"/>
              <w:right w:val="single" w:color="000000" w:sz="4" w:space="0"/>
            </w:tcBorders>
            <w:shd w:val="clear" w:color="auto" w:fill="auto"/>
            <w:vAlign w:val="center"/>
          </w:tcPr>
          <w:p w14:paraId="5663C1E9">
            <w:pPr>
              <w:pStyle w:val="23"/>
              <w:bidi w:val="0"/>
              <w:rPr>
                <w:rFonts w:hint="default" w:ascii="Times New Roman" w:hAnsi="Times New Roman" w:cs="Times New Roman"/>
                <w:color w:val="auto"/>
                <w:lang w:val="en-US" w:eastAsia="zh-CN"/>
              </w:rPr>
            </w:pPr>
            <w:r>
              <w:rPr>
                <w:rFonts w:hint="eastAsia" w:cs="Times New Roman"/>
                <w:color w:val="auto"/>
                <w:lang w:val="en-US" w:eastAsia="zh-CN"/>
              </w:rPr>
              <w:t>限值要求</w:t>
            </w:r>
          </w:p>
        </w:tc>
        <w:tc>
          <w:tcPr>
            <w:tcW w:w="1319" w:type="dxa"/>
            <w:tcBorders>
              <w:top w:val="single" w:color="000000" w:sz="4" w:space="0"/>
              <w:left w:val="single" w:color="000000" w:sz="4" w:space="0"/>
              <w:right w:val="single" w:color="000000" w:sz="4" w:space="0"/>
            </w:tcBorders>
            <w:shd w:val="clear" w:color="auto" w:fill="auto"/>
            <w:vAlign w:val="center"/>
          </w:tcPr>
          <w:p w14:paraId="5226E7AB">
            <w:pPr>
              <w:pStyle w:val="23"/>
              <w:bidi w:val="0"/>
              <w:rPr>
                <w:rFonts w:hint="default" w:ascii="Times New Roman" w:hAnsi="Times New Roman" w:cs="Times New Roman"/>
                <w:color w:val="auto"/>
                <w:lang w:val="en-US" w:eastAsia="zh-CN"/>
              </w:rPr>
            </w:pPr>
            <w:r>
              <w:rPr>
                <w:rFonts w:hint="eastAsia" w:cs="Times New Roman"/>
                <w:color w:val="auto"/>
                <w:lang w:val="en-US" w:eastAsia="zh-CN"/>
              </w:rPr>
              <w:t>120</w:t>
            </w:r>
          </w:p>
        </w:tc>
        <w:tc>
          <w:tcPr>
            <w:tcW w:w="1450" w:type="dxa"/>
            <w:tcBorders>
              <w:top w:val="single" w:color="000000" w:sz="4" w:space="0"/>
              <w:left w:val="single" w:color="000000" w:sz="4" w:space="0"/>
              <w:right w:val="single" w:color="000000" w:sz="4" w:space="0"/>
            </w:tcBorders>
            <w:shd w:val="clear" w:color="auto" w:fill="auto"/>
            <w:vAlign w:val="center"/>
          </w:tcPr>
          <w:p w14:paraId="03F55C28">
            <w:pPr>
              <w:pStyle w:val="23"/>
              <w:bidi w:val="0"/>
              <w:rPr>
                <w:rFonts w:hint="default" w:ascii="Times New Roman" w:hAnsi="Times New Roman" w:cs="Times New Roman"/>
                <w:color w:val="auto"/>
                <w:lang w:val="en-US" w:eastAsia="zh-CN"/>
              </w:rPr>
            </w:pPr>
            <w:r>
              <w:rPr>
                <w:rFonts w:hint="eastAsia" w:cs="Times New Roman"/>
                <w:color w:val="auto"/>
                <w:lang w:val="en-US" w:eastAsia="zh-CN"/>
              </w:rPr>
              <w:t>/</w:t>
            </w:r>
          </w:p>
        </w:tc>
        <w:tc>
          <w:tcPr>
            <w:tcW w:w="1487" w:type="dxa"/>
            <w:tcBorders>
              <w:top w:val="single" w:color="000000" w:sz="4" w:space="0"/>
              <w:left w:val="single" w:color="000000" w:sz="4" w:space="0"/>
            </w:tcBorders>
            <w:shd w:val="clear" w:color="auto" w:fill="auto"/>
            <w:vAlign w:val="center"/>
          </w:tcPr>
          <w:p w14:paraId="5AF96BEE">
            <w:pPr>
              <w:pStyle w:val="23"/>
              <w:bidi w:val="0"/>
              <w:rPr>
                <w:rFonts w:hint="default" w:ascii="Times New Roman" w:hAnsi="Times New Roman" w:cs="Times New Roman"/>
                <w:color w:val="auto"/>
                <w:lang w:val="en-US" w:eastAsia="zh-CN"/>
              </w:rPr>
            </w:pPr>
            <w:r>
              <w:rPr>
                <w:rFonts w:hint="eastAsia" w:cs="Times New Roman"/>
                <w:color w:val="auto"/>
                <w:lang w:val="en-US" w:eastAsia="zh-CN"/>
              </w:rPr>
              <w:t>14.5</w:t>
            </w:r>
          </w:p>
        </w:tc>
      </w:tr>
    </w:tbl>
    <w:p w14:paraId="4D14BD1E">
      <w:pPr>
        <w:pStyle w:val="21"/>
        <w:bidi w:val="0"/>
        <w:rPr>
          <w:rFonts w:hint="default"/>
          <w:color w:val="auto"/>
        </w:rPr>
      </w:pPr>
      <w:r>
        <w:rPr>
          <w:rFonts w:hint="default"/>
          <w:color w:val="auto"/>
        </w:rPr>
        <w:t>表9</w:t>
      </w:r>
      <w:r>
        <w:rPr>
          <w:rFonts w:hint="default"/>
          <w:color w:val="auto"/>
          <w:lang w:val="en-US" w:eastAsia="zh-CN"/>
        </w:rPr>
        <w:t>.2</w:t>
      </w:r>
      <w:r>
        <w:rPr>
          <w:rFonts w:hint="default"/>
          <w:color w:val="auto"/>
        </w:rPr>
        <w:t>-</w:t>
      </w:r>
      <w:r>
        <w:rPr>
          <w:rFonts w:hint="default"/>
          <w:color w:val="auto"/>
          <w:lang w:val="en-US" w:eastAsia="zh-CN"/>
        </w:rPr>
        <w:t>3项目无组织</w:t>
      </w:r>
      <w:r>
        <w:rPr>
          <w:rFonts w:hint="default"/>
          <w:color w:val="auto"/>
        </w:rPr>
        <w:t>检测结果表(单位</w:t>
      </w:r>
      <w:r>
        <w:rPr>
          <w:rFonts w:hint="eastAsia"/>
          <w:color w:val="auto"/>
          <w:lang w:eastAsia="zh-CN"/>
        </w:rPr>
        <w:t>：</w:t>
      </w:r>
      <w:r>
        <w:rPr>
          <w:rFonts w:hint="default"/>
          <w:color w:val="auto"/>
        </w:rPr>
        <w:t>mg/</w:t>
      </w:r>
      <w:r>
        <w:rPr>
          <w:rFonts w:hint="default"/>
          <w:color w:val="auto"/>
          <w:lang w:val="en-US" w:eastAsia="zh-CN"/>
        </w:rPr>
        <w:t>m³</w:t>
      </w:r>
      <w:r>
        <w:rPr>
          <w:rFonts w:hint="default"/>
          <w:color w:val="auto"/>
        </w:rPr>
        <w:t>)</w:t>
      </w:r>
    </w:p>
    <w:tbl>
      <w:tblPr>
        <w:tblStyle w:val="20"/>
        <w:tblW w:w="9071" w:type="dxa"/>
        <w:jc w:val="center"/>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Layout w:type="fixed"/>
        <w:tblCellMar>
          <w:top w:w="0" w:type="dxa"/>
          <w:left w:w="0" w:type="dxa"/>
          <w:bottom w:w="0" w:type="dxa"/>
          <w:right w:w="0" w:type="dxa"/>
        </w:tblCellMar>
      </w:tblPr>
      <w:tblGrid>
        <w:gridCol w:w="1084"/>
        <w:gridCol w:w="1451"/>
        <w:gridCol w:w="958"/>
        <w:gridCol w:w="837"/>
        <w:gridCol w:w="923"/>
        <w:gridCol w:w="740"/>
        <w:gridCol w:w="846"/>
        <w:gridCol w:w="843"/>
        <w:gridCol w:w="546"/>
        <w:gridCol w:w="297"/>
        <w:gridCol w:w="546"/>
      </w:tblGrid>
      <w:tr w14:paraId="5DA61DDB">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7" w:type="dxa"/>
            <w:vMerge w:val="restart"/>
            <w:tcBorders>
              <w:left w:val="nil"/>
            </w:tcBorders>
            <w:vAlign w:val="center"/>
          </w:tcPr>
          <w:p w14:paraId="5DC955FA">
            <w:pPr>
              <w:pStyle w:val="23"/>
              <w:bidi w:val="0"/>
              <w:jc w:val="center"/>
              <w:rPr>
                <w:rFonts w:hint="default" w:ascii="Times New Roman" w:hAnsi="Times New Roman" w:cs="Times New Roman"/>
                <w:color w:val="auto"/>
              </w:rPr>
            </w:pPr>
            <w:r>
              <w:rPr>
                <w:rFonts w:hint="default" w:ascii="Times New Roman" w:hAnsi="Times New Roman" w:cs="Times New Roman"/>
                <w:color w:val="auto"/>
              </w:rPr>
              <w:t>检测日期</w:t>
            </w:r>
          </w:p>
        </w:tc>
        <w:tc>
          <w:tcPr>
            <w:tcW w:w="1601" w:type="dxa"/>
            <w:vMerge w:val="restart"/>
            <w:vAlign w:val="center"/>
          </w:tcPr>
          <w:p w14:paraId="4349C820">
            <w:pPr>
              <w:pStyle w:val="23"/>
              <w:bidi w:val="0"/>
              <w:jc w:val="center"/>
              <w:rPr>
                <w:rFonts w:hint="default" w:ascii="Times New Roman" w:hAnsi="Times New Roman" w:cs="Times New Roman"/>
                <w:color w:val="auto"/>
              </w:rPr>
            </w:pPr>
            <w:r>
              <w:rPr>
                <w:rFonts w:hint="default" w:ascii="Times New Roman" w:hAnsi="Times New Roman" w:cs="Times New Roman"/>
                <w:color w:val="auto"/>
              </w:rPr>
              <w:t>检测点位置</w:t>
            </w:r>
          </w:p>
        </w:tc>
        <w:tc>
          <w:tcPr>
            <w:tcW w:w="1056" w:type="dxa"/>
            <w:vMerge w:val="restart"/>
            <w:vAlign w:val="center"/>
          </w:tcPr>
          <w:p w14:paraId="34B1116B">
            <w:pPr>
              <w:pStyle w:val="23"/>
              <w:bidi w:val="0"/>
              <w:jc w:val="center"/>
              <w:rPr>
                <w:rFonts w:hint="default" w:ascii="Times New Roman" w:hAnsi="Times New Roman" w:cs="Times New Roman"/>
                <w:color w:val="auto"/>
              </w:rPr>
            </w:pPr>
            <w:r>
              <w:rPr>
                <w:rFonts w:hint="default" w:ascii="Times New Roman" w:hAnsi="Times New Roman" w:cs="Times New Roman"/>
                <w:color w:val="auto"/>
              </w:rPr>
              <w:t>检测项目</w:t>
            </w:r>
          </w:p>
        </w:tc>
        <w:tc>
          <w:tcPr>
            <w:tcW w:w="4615" w:type="dxa"/>
            <w:gridSpan w:val="5"/>
            <w:vAlign w:val="center"/>
          </w:tcPr>
          <w:p w14:paraId="27DC7DAA">
            <w:pPr>
              <w:pStyle w:val="23"/>
              <w:bidi w:val="0"/>
              <w:jc w:val="center"/>
              <w:rPr>
                <w:rFonts w:hint="default" w:ascii="Times New Roman" w:hAnsi="Times New Roman" w:cs="Times New Roman"/>
                <w:color w:val="auto"/>
              </w:rPr>
            </w:pPr>
            <w:r>
              <w:rPr>
                <w:rFonts w:hint="default" w:ascii="Times New Roman" w:hAnsi="Times New Roman" w:cs="Times New Roman"/>
                <w:color w:val="auto"/>
              </w:rPr>
              <w:t>排放浓度</w:t>
            </w:r>
          </w:p>
        </w:tc>
        <w:tc>
          <w:tcPr>
            <w:tcW w:w="929" w:type="dxa"/>
            <w:gridSpan w:val="2"/>
            <w:vMerge w:val="restart"/>
            <w:vAlign w:val="center"/>
          </w:tcPr>
          <w:p w14:paraId="02AE94E6">
            <w:pPr>
              <w:pStyle w:val="23"/>
              <w:bidi w:val="0"/>
              <w:jc w:val="center"/>
              <w:rPr>
                <w:rFonts w:hint="default" w:ascii="Times New Roman" w:hAnsi="Times New Roman" w:cs="Times New Roman"/>
                <w:color w:val="auto"/>
              </w:rPr>
            </w:pPr>
            <w:r>
              <w:rPr>
                <w:rFonts w:hint="default" w:ascii="Times New Roman" w:hAnsi="Times New Roman" w:cs="Times New Roman"/>
                <w:color w:val="auto"/>
              </w:rPr>
              <w:t>限值要求</w:t>
            </w:r>
          </w:p>
        </w:tc>
        <w:tc>
          <w:tcPr>
            <w:tcW w:w="602" w:type="dxa"/>
            <w:vMerge w:val="restart"/>
            <w:tcBorders>
              <w:right w:val="nil"/>
            </w:tcBorders>
            <w:vAlign w:val="center"/>
          </w:tcPr>
          <w:p w14:paraId="3309CB72">
            <w:pPr>
              <w:pStyle w:val="23"/>
              <w:bidi w:val="0"/>
              <w:jc w:val="center"/>
              <w:rPr>
                <w:rFonts w:hint="default" w:ascii="Times New Roman" w:hAnsi="Times New Roman" w:cs="Times New Roman"/>
                <w:color w:val="auto"/>
              </w:rPr>
            </w:pPr>
            <w:r>
              <w:rPr>
                <w:rFonts w:hint="default" w:ascii="Times New Roman" w:hAnsi="Times New Roman" w:cs="Times New Roman"/>
                <w:color w:val="auto"/>
              </w:rPr>
              <w:t>结论</w:t>
            </w:r>
          </w:p>
        </w:tc>
      </w:tr>
      <w:tr w14:paraId="2D64DD8A">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7" w:type="dxa"/>
            <w:vMerge w:val="continue"/>
            <w:tcBorders>
              <w:left w:val="nil"/>
            </w:tcBorders>
            <w:vAlign w:val="center"/>
          </w:tcPr>
          <w:p w14:paraId="07B34A4C">
            <w:pPr>
              <w:pStyle w:val="23"/>
              <w:bidi w:val="0"/>
              <w:jc w:val="center"/>
              <w:rPr>
                <w:rFonts w:hint="default" w:ascii="Times New Roman" w:hAnsi="Times New Roman" w:cs="Times New Roman"/>
                <w:color w:val="auto"/>
              </w:rPr>
            </w:pPr>
          </w:p>
        </w:tc>
        <w:tc>
          <w:tcPr>
            <w:tcW w:w="1601" w:type="dxa"/>
            <w:vMerge w:val="continue"/>
            <w:vAlign w:val="center"/>
          </w:tcPr>
          <w:p w14:paraId="728DD2CD">
            <w:pPr>
              <w:pStyle w:val="23"/>
              <w:bidi w:val="0"/>
              <w:jc w:val="center"/>
              <w:rPr>
                <w:rFonts w:hint="default" w:ascii="Times New Roman" w:hAnsi="Times New Roman" w:cs="Times New Roman"/>
                <w:color w:val="auto"/>
              </w:rPr>
            </w:pPr>
          </w:p>
        </w:tc>
        <w:tc>
          <w:tcPr>
            <w:tcW w:w="1056" w:type="dxa"/>
            <w:vMerge w:val="continue"/>
            <w:vAlign w:val="center"/>
          </w:tcPr>
          <w:p w14:paraId="5A0A6D92">
            <w:pPr>
              <w:pStyle w:val="23"/>
              <w:bidi w:val="0"/>
              <w:jc w:val="center"/>
              <w:rPr>
                <w:rFonts w:hint="default" w:ascii="Times New Roman" w:hAnsi="Times New Roman" w:cs="Times New Roman"/>
                <w:color w:val="auto"/>
              </w:rPr>
            </w:pPr>
          </w:p>
        </w:tc>
        <w:tc>
          <w:tcPr>
            <w:tcW w:w="922" w:type="dxa"/>
            <w:vAlign w:val="center"/>
          </w:tcPr>
          <w:p w14:paraId="0641F76D">
            <w:pPr>
              <w:pStyle w:val="23"/>
              <w:bidi w:val="0"/>
              <w:jc w:val="center"/>
              <w:rPr>
                <w:rFonts w:hint="default" w:ascii="Times New Roman" w:hAnsi="Times New Roman" w:cs="Times New Roman"/>
                <w:color w:val="auto"/>
              </w:rPr>
            </w:pPr>
            <w:r>
              <w:rPr>
                <w:rFonts w:hint="default" w:ascii="Times New Roman" w:hAnsi="Times New Roman" w:cs="Times New Roman"/>
                <w:color w:val="auto"/>
              </w:rPr>
              <w:t>第一次</w:t>
            </w:r>
          </w:p>
        </w:tc>
        <w:tc>
          <w:tcPr>
            <w:tcW w:w="1017" w:type="dxa"/>
            <w:vAlign w:val="center"/>
          </w:tcPr>
          <w:p w14:paraId="0C0DDD26">
            <w:pPr>
              <w:pStyle w:val="23"/>
              <w:bidi w:val="0"/>
              <w:jc w:val="center"/>
              <w:rPr>
                <w:rFonts w:hint="default" w:ascii="Times New Roman" w:hAnsi="Times New Roman" w:cs="Times New Roman"/>
                <w:color w:val="auto"/>
              </w:rPr>
            </w:pPr>
            <w:r>
              <w:rPr>
                <w:rFonts w:hint="default" w:ascii="Times New Roman" w:hAnsi="Times New Roman" w:cs="Times New Roman"/>
                <w:color w:val="auto"/>
              </w:rPr>
              <w:t>第二次</w:t>
            </w:r>
          </w:p>
        </w:tc>
        <w:tc>
          <w:tcPr>
            <w:tcW w:w="815" w:type="dxa"/>
            <w:vAlign w:val="center"/>
          </w:tcPr>
          <w:p w14:paraId="0EC92EDD">
            <w:pPr>
              <w:pStyle w:val="23"/>
              <w:bidi w:val="0"/>
              <w:jc w:val="center"/>
              <w:rPr>
                <w:rFonts w:hint="default" w:ascii="Times New Roman" w:hAnsi="Times New Roman" w:cs="Times New Roman"/>
                <w:color w:val="auto"/>
              </w:rPr>
            </w:pPr>
            <w:r>
              <w:rPr>
                <w:rFonts w:hint="default" w:ascii="Times New Roman" w:hAnsi="Times New Roman" w:cs="Times New Roman"/>
                <w:color w:val="auto"/>
              </w:rPr>
              <w:t>第三次</w:t>
            </w:r>
          </w:p>
        </w:tc>
        <w:tc>
          <w:tcPr>
            <w:tcW w:w="932" w:type="dxa"/>
            <w:vAlign w:val="center"/>
          </w:tcPr>
          <w:p w14:paraId="5754887B">
            <w:pPr>
              <w:pStyle w:val="23"/>
              <w:bidi w:val="0"/>
              <w:jc w:val="center"/>
              <w:rPr>
                <w:rFonts w:hint="default" w:ascii="Times New Roman" w:hAnsi="Times New Roman" w:cs="Times New Roman"/>
                <w:color w:val="auto"/>
              </w:rPr>
            </w:pPr>
            <w:r>
              <w:rPr>
                <w:rFonts w:hint="default" w:ascii="Times New Roman" w:hAnsi="Times New Roman" w:cs="Times New Roman"/>
                <w:color w:val="auto"/>
              </w:rPr>
              <w:t>第四次</w:t>
            </w:r>
          </w:p>
        </w:tc>
        <w:tc>
          <w:tcPr>
            <w:tcW w:w="929" w:type="dxa"/>
            <w:vAlign w:val="center"/>
          </w:tcPr>
          <w:p w14:paraId="5F8C9B53">
            <w:pPr>
              <w:pStyle w:val="23"/>
              <w:bidi w:val="0"/>
              <w:jc w:val="center"/>
              <w:rPr>
                <w:rFonts w:hint="eastAsia" w:ascii="Times New Roman" w:hAnsi="Times New Roman" w:eastAsia="宋体" w:cs="Times New Roman"/>
                <w:color w:val="auto"/>
                <w:lang w:val="en-US" w:eastAsia="zh-CN"/>
              </w:rPr>
            </w:pPr>
            <w:r>
              <w:rPr>
                <w:rFonts w:hint="eastAsia" w:cs="Times New Roman"/>
                <w:color w:val="auto"/>
                <w:lang w:val="en-US" w:eastAsia="zh-CN"/>
              </w:rPr>
              <w:t>最大值</w:t>
            </w:r>
          </w:p>
        </w:tc>
        <w:tc>
          <w:tcPr>
            <w:tcW w:w="929" w:type="dxa"/>
            <w:gridSpan w:val="2"/>
            <w:vMerge w:val="continue"/>
            <w:vAlign w:val="center"/>
          </w:tcPr>
          <w:p w14:paraId="76D36C91">
            <w:pPr>
              <w:pStyle w:val="23"/>
              <w:bidi w:val="0"/>
              <w:jc w:val="center"/>
              <w:rPr>
                <w:rFonts w:hint="default" w:ascii="Times New Roman" w:hAnsi="Times New Roman" w:cs="Times New Roman"/>
                <w:color w:val="auto"/>
              </w:rPr>
            </w:pPr>
          </w:p>
        </w:tc>
        <w:tc>
          <w:tcPr>
            <w:tcW w:w="602" w:type="dxa"/>
            <w:vMerge w:val="continue"/>
            <w:tcBorders>
              <w:right w:val="nil"/>
            </w:tcBorders>
            <w:vAlign w:val="center"/>
          </w:tcPr>
          <w:p w14:paraId="69DEA7E4">
            <w:pPr>
              <w:pStyle w:val="23"/>
              <w:bidi w:val="0"/>
              <w:jc w:val="center"/>
              <w:rPr>
                <w:rFonts w:hint="default" w:ascii="Times New Roman" w:hAnsi="Times New Roman" w:cs="Times New Roman"/>
                <w:color w:val="auto"/>
              </w:rPr>
            </w:pPr>
          </w:p>
        </w:tc>
      </w:tr>
      <w:tr w14:paraId="37F4783F">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7" w:type="dxa"/>
            <w:vMerge w:val="restart"/>
            <w:tcBorders>
              <w:left w:val="nil"/>
            </w:tcBorders>
            <w:vAlign w:val="center"/>
          </w:tcPr>
          <w:p w14:paraId="1B196B3F">
            <w:pPr>
              <w:pStyle w:val="23"/>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rPr>
              <w:t>20</w:t>
            </w:r>
            <w:r>
              <w:rPr>
                <w:rFonts w:hint="default" w:ascii="Times New Roman" w:hAnsi="Times New Roman" w:cs="Times New Roman"/>
                <w:color w:val="auto"/>
                <w:lang w:val="en-US" w:eastAsia="zh-CN"/>
              </w:rPr>
              <w:t>24</w:t>
            </w:r>
            <w:r>
              <w:rPr>
                <w:rFonts w:hint="default" w:ascii="Times New Roman" w:hAnsi="Times New Roman" w:cs="Times New Roman"/>
                <w:color w:val="auto"/>
              </w:rPr>
              <w:t>.</w:t>
            </w:r>
            <w:r>
              <w:rPr>
                <w:rFonts w:hint="eastAsia" w:cs="Times New Roman"/>
                <w:color w:val="auto"/>
                <w:lang w:val="en-US" w:eastAsia="zh-CN"/>
              </w:rPr>
              <w:t>10.10</w:t>
            </w:r>
          </w:p>
        </w:tc>
        <w:tc>
          <w:tcPr>
            <w:tcW w:w="1601" w:type="dxa"/>
            <w:vAlign w:val="center"/>
          </w:tcPr>
          <w:p w14:paraId="5F814F4F">
            <w:pPr>
              <w:pStyle w:val="23"/>
              <w:bidi w:val="0"/>
              <w:jc w:val="center"/>
              <w:rPr>
                <w:rFonts w:hint="default" w:ascii="Times New Roman" w:hAnsi="Times New Roman" w:cs="Times New Roman"/>
                <w:color w:val="auto"/>
              </w:rPr>
            </w:pPr>
            <w:r>
              <w:rPr>
                <w:rFonts w:hint="default" w:ascii="Times New Roman" w:hAnsi="Times New Roman" w:cs="Times New Roman"/>
                <w:color w:val="auto"/>
              </w:rPr>
              <w:t>厂界上风向</w:t>
            </w:r>
            <w:r>
              <w:rPr>
                <w:rFonts w:hint="default" w:ascii="Times New Roman" w:hAnsi="Times New Roman" w:cs="Times New Roman"/>
                <w:color w:val="auto"/>
                <w:lang w:val="en-US" w:eastAsia="zh-CN"/>
              </w:rPr>
              <w:t>G2</w:t>
            </w:r>
          </w:p>
        </w:tc>
        <w:tc>
          <w:tcPr>
            <w:tcW w:w="1056" w:type="dxa"/>
            <w:vMerge w:val="restart"/>
            <w:vAlign w:val="center"/>
          </w:tcPr>
          <w:p w14:paraId="08F8EE87">
            <w:pPr>
              <w:pStyle w:val="23"/>
              <w:bidi w:val="0"/>
              <w:jc w:val="center"/>
              <w:rPr>
                <w:rFonts w:hint="default" w:ascii="Times New Roman" w:hAnsi="Times New Roman" w:cs="Times New Roman"/>
                <w:color w:val="auto"/>
              </w:rPr>
            </w:pPr>
            <w:r>
              <w:rPr>
                <w:rFonts w:hint="default" w:ascii="Times New Roman" w:hAnsi="Times New Roman" w:cs="Times New Roman"/>
                <w:color w:val="auto"/>
              </w:rPr>
              <w:t>颗粒物</w:t>
            </w:r>
          </w:p>
        </w:tc>
        <w:tc>
          <w:tcPr>
            <w:tcW w:w="922" w:type="dxa"/>
            <w:vAlign w:val="center"/>
          </w:tcPr>
          <w:p w14:paraId="50E7AB07">
            <w:pPr>
              <w:pStyle w:val="23"/>
              <w:bidi w:val="0"/>
              <w:rPr>
                <w:rFonts w:hint="default"/>
                <w:color w:val="auto"/>
                <w:lang w:val="en-US" w:eastAsia="zh-CN"/>
              </w:rPr>
            </w:pPr>
            <w:r>
              <w:rPr>
                <w:color w:val="auto"/>
                <w:lang w:val="en-US" w:eastAsia="zh-CN"/>
              </w:rPr>
              <w:t>0.168L</w:t>
            </w:r>
          </w:p>
        </w:tc>
        <w:tc>
          <w:tcPr>
            <w:tcW w:w="1017" w:type="dxa"/>
            <w:vAlign w:val="center"/>
          </w:tcPr>
          <w:p w14:paraId="03CA7ADA">
            <w:pPr>
              <w:pStyle w:val="23"/>
              <w:bidi w:val="0"/>
              <w:rPr>
                <w:rFonts w:hint="default"/>
                <w:color w:val="auto"/>
              </w:rPr>
            </w:pPr>
            <w:r>
              <w:rPr>
                <w:color w:val="auto"/>
                <w:lang w:val="en-US" w:eastAsia="zh-CN"/>
              </w:rPr>
              <w:t>0.168L</w:t>
            </w:r>
          </w:p>
        </w:tc>
        <w:tc>
          <w:tcPr>
            <w:tcW w:w="815" w:type="dxa"/>
            <w:vAlign w:val="center"/>
          </w:tcPr>
          <w:p w14:paraId="6E5B67C8">
            <w:pPr>
              <w:pStyle w:val="23"/>
              <w:bidi w:val="0"/>
              <w:rPr>
                <w:rFonts w:hint="default"/>
                <w:color w:val="auto"/>
                <w:lang w:val="en-US" w:eastAsia="zh-CN"/>
              </w:rPr>
            </w:pPr>
            <w:r>
              <w:rPr>
                <w:color w:val="auto"/>
                <w:lang w:val="en-US" w:eastAsia="zh-CN"/>
              </w:rPr>
              <w:t>0.168L</w:t>
            </w:r>
          </w:p>
        </w:tc>
        <w:tc>
          <w:tcPr>
            <w:tcW w:w="932" w:type="dxa"/>
            <w:vAlign w:val="center"/>
          </w:tcPr>
          <w:p w14:paraId="63E6682D">
            <w:pPr>
              <w:pStyle w:val="23"/>
              <w:bidi w:val="0"/>
              <w:rPr>
                <w:rFonts w:hint="default"/>
                <w:color w:val="auto"/>
                <w:lang w:val="en-US" w:eastAsia="zh-CN"/>
              </w:rPr>
            </w:pPr>
            <w:r>
              <w:rPr>
                <w:color w:val="auto"/>
                <w:lang w:val="en-US" w:eastAsia="zh-CN"/>
              </w:rPr>
              <w:t>0.168L</w:t>
            </w:r>
          </w:p>
        </w:tc>
        <w:tc>
          <w:tcPr>
            <w:tcW w:w="929" w:type="dxa"/>
            <w:vMerge w:val="restart"/>
            <w:vAlign w:val="center"/>
          </w:tcPr>
          <w:p w14:paraId="7353DC12">
            <w:pPr>
              <w:pStyle w:val="23"/>
              <w:bidi w:val="0"/>
              <w:rPr>
                <w:rFonts w:hint="default"/>
                <w:color w:val="auto"/>
                <w:lang w:val="en-US" w:eastAsia="zh-CN"/>
              </w:rPr>
            </w:pPr>
            <w:r>
              <w:rPr>
                <w:rFonts w:hint="eastAsia"/>
                <w:color w:val="auto"/>
                <w:lang w:val="en-US" w:eastAsia="zh-CN"/>
              </w:rPr>
              <w:t>0.259</w:t>
            </w:r>
          </w:p>
        </w:tc>
        <w:tc>
          <w:tcPr>
            <w:tcW w:w="929" w:type="dxa"/>
            <w:gridSpan w:val="2"/>
            <w:vMerge w:val="restart"/>
            <w:vAlign w:val="center"/>
          </w:tcPr>
          <w:p w14:paraId="43B07EEA">
            <w:pPr>
              <w:pStyle w:val="23"/>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t>1mg/</w:t>
            </w:r>
            <w:r>
              <w:rPr>
                <w:rFonts w:hint="default" w:ascii="Times New Roman" w:hAnsi="Times New Roman" w:cs="Times New Roman"/>
                <w:color w:val="auto"/>
                <w:lang w:val="en-US" w:eastAsia="zh-CN"/>
              </w:rPr>
              <w:t>m³</w:t>
            </w:r>
          </w:p>
        </w:tc>
        <w:tc>
          <w:tcPr>
            <w:tcW w:w="602" w:type="dxa"/>
            <w:vMerge w:val="restart"/>
            <w:tcBorders>
              <w:right w:val="nil"/>
            </w:tcBorders>
            <w:vAlign w:val="center"/>
          </w:tcPr>
          <w:p w14:paraId="39290C90">
            <w:pPr>
              <w:pStyle w:val="23"/>
              <w:bidi w:val="0"/>
              <w:jc w:val="center"/>
              <w:rPr>
                <w:rFonts w:hint="default" w:ascii="Times New Roman" w:hAnsi="Times New Roman" w:cs="Times New Roman"/>
                <w:color w:val="auto"/>
              </w:rPr>
            </w:pPr>
            <w:r>
              <w:rPr>
                <w:rFonts w:hint="default" w:ascii="Times New Roman" w:hAnsi="Times New Roman" w:cs="Times New Roman"/>
                <w:color w:val="auto"/>
              </w:rPr>
              <w:t>达标排放</w:t>
            </w:r>
          </w:p>
        </w:tc>
      </w:tr>
      <w:tr w14:paraId="2FCC2B55">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7" w:type="dxa"/>
            <w:vMerge w:val="continue"/>
            <w:tcBorders>
              <w:left w:val="nil"/>
            </w:tcBorders>
            <w:vAlign w:val="center"/>
          </w:tcPr>
          <w:p w14:paraId="68E2630F">
            <w:pPr>
              <w:pStyle w:val="23"/>
              <w:bidi w:val="0"/>
              <w:jc w:val="center"/>
              <w:rPr>
                <w:rFonts w:hint="default" w:ascii="Times New Roman" w:hAnsi="Times New Roman" w:cs="Times New Roman"/>
                <w:color w:val="auto"/>
              </w:rPr>
            </w:pPr>
          </w:p>
        </w:tc>
        <w:tc>
          <w:tcPr>
            <w:tcW w:w="1601" w:type="dxa"/>
            <w:vAlign w:val="center"/>
          </w:tcPr>
          <w:p w14:paraId="544476C0">
            <w:pPr>
              <w:pStyle w:val="23"/>
              <w:bidi w:val="0"/>
              <w:jc w:val="center"/>
              <w:rPr>
                <w:rFonts w:hint="default" w:ascii="Times New Roman" w:hAnsi="Times New Roman" w:cs="Times New Roman"/>
                <w:color w:val="auto"/>
                <w:lang w:val="en-US"/>
              </w:rPr>
            </w:pPr>
            <w:r>
              <w:rPr>
                <w:rFonts w:hint="default" w:ascii="Times New Roman" w:hAnsi="Times New Roman" w:cs="Times New Roman"/>
                <w:color w:val="auto"/>
              </w:rPr>
              <w:t>厂界下风向</w:t>
            </w:r>
            <w:r>
              <w:rPr>
                <w:rFonts w:hint="default" w:ascii="Times New Roman" w:hAnsi="Times New Roman" w:cs="Times New Roman"/>
                <w:color w:val="auto"/>
                <w:lang w:val="en-US" w:eastAsia="zh-CN"/>
              </w:rPr>
              <w:t>G3</w:t>
            </w:r>
          </w:p>
        </w:tc>
        <w:tc>
          <w:tcPr>
            <w:tcW w:w="1056" w:type="dxa"/>
            <w:vMerge w:val="continue"/>
            <w:vAlign w:val="center"/>
          </w:tcPr>
          <w:p w14:paraId="2874193F">
            <w:pPr>
              <w:pStyle w:val="23"/>
              <w:bidi w:val="0"/>
              <w:jc w:val="center"/>
              <w:rPr>
                <w:rFonts w:hint="default" w:ascii="Times New Roman" w:hAnsi="Times New Roman" w:cs="Times New Roman"/>
                <w:color w:val="auto"/>
              </w:rPr>
            </w:pPr>
          </w:p>
        </w:tc>
        <w:tc>
          <w:tcPr>
            <w:tcW w:w="922" w:type="dxa"/>
            <w:vAlign w:val="center"/>
          </w:tcPr>
          <w:p w14:paraId="56B3FDE3">
            <w:pPr>
              <w:pStyle w:val="23"/>
              <w:bidi w:val="0"/>
              <w:rPr>
                <w:rFonts w:hint="default"/>
                <w:color w:val="auto"/>
              </w:rPr>
            </w:pPr>
            <w:r>
              <w:rPr>
                <w:color w:val="auto"/>
                <w:lang w:val="en-US" w:eastAsia="zh-CN"/>
              </w:rPr>
              <w:t>0.218</w:t>
            </w:r>
          </w:p>
        </w:tc>
        <w:tc>
          <w:tcPr>
            <w:tcW w:w="1017" w:type="dxa"/>
            <w:vAlign w:val="center"/>
          </w:tcPr>
          <w:p w14:paraId="31B33550">
            <w:pPr>
              <w:pStyle w:val="23"/>
              <w:bidi w:val="0"/>
              <w:rPr>
                <w:rFonts w:hint="default"/>
                <w:color w:val="auto"/>
              </w:rPr>
            </w:pPr>
            <w:r>
              <w:rPr>
                <w:color w:val="auto"/>
                <w:lang w:val="en-US" w:eastAsia="zh-CN"/>
              </w:rPr>
              <w:t>0.192</w:t>
            </w:r>
          </w:p>
        </w:tc>
        <w:tc>
          <w:tcPr>
            <w:tcW w:w="815" w:type="dxa"/>
            <w:vAlign w:val="center"/>
          </w:tcPr>
          <w:p w14:paraId="53282359">
            <w:pPr>
              <w:pStyle w:val="23"/>
              <w:bidi w:val="0"/>
              <w:rPr>
                <w:rFonts w:hint="default"/>
                <w:color w:val="auto"/>
              </w:rPr>
            </w:pPr>
            <w:r>
              <w:rPr>
                <w:color w:val="auto"/>
                <w:lang w:val="en-US" w:eastAsia="zh-CN"/>
              </w:rPr>
              <w:t>0.25</w:t>
            </w:r>
            <w:r>
              <w:rPr>
                <w:rFonts w:hint="eastAsia"/>
                <w:color w:val="auto"/>
                <w:lang w:val="en-US" w:eastAsia="zh-CN"/>
              </w:rPr>
              <w:t>8</w:t>
            </w:r>
          </w:p>
        </w:tc>
        <w:tc>
          <w:tcPr>
            <w:tcW w:w="932" w:type="dxa"/>
            <w:vAlign w:val="center"/>
          </w:tcPr>
          <w:p w14:paraId="39DCAFAE">
            <w:pPr>
              <w:pStyle w:val="23"/>
              <w:bidi w:val="0"/>
              <w:rPr>
                <w:rFonts w:hint="default"/>
                <w:color w:val="auto"/>
                <w:lang w:val="en-US"/>
              </w:rPr>
            </w:pPr>
            <w:r>
              <w:rPr>
                <w:color w:val="auto"/>
                <w:lang w:val="en-US" w:eastAsia="zh-CN"/>
              </w:rPr>
              <w:t>0.2</w:t>
            </w:r>
            <w:r>
              <w:rPr>
                <w:rFonts w:hint="eastAsia"/>
                <w:color w:val="auto"/>
                <w:lang w:val="en-US" w:eastAsia="zh-CN"/>
              </w:rPr>
              <w:t>52</w:t>
            </w:r>
          </w:p>
        </w:tc>
        <w:tc>
          <w:tcPr>
            <w:tcW w:w="929" w:type="dxa"/>
            <w:vMerge w:val="continue"/>
            <w:vAlign w:val="center"/>
          </w:tcPr>
          <w:p w14:paraId="1BBDDCA5">
            <w:pPr>
              <w:pStyle w:val="23"/>
              <w:bidi w:val="0"/>
              <w:rPr>
                <w:color w:val="auto"/>
                <w:lang w:val="en-US" w:eastAsia="zh-CN"/>
              </w:rPr>
            </w:pPr>
          </w:p>
        </w:tc>
        <w:tc>
          <w:tcPr>
            <w:tcW w:w="929" w:type="dxa"/>
            <w:gridSpan w:val="2"/>
            <w:vMerge w:val="continue"/>
            <w:vAlign w:val="center"/>
          </w:tcPr>
          <w:p w14:paraId="48E63825">
            <w:pPr>
              <w:pStyle w:val="23"/>
              <w:bidi w:val="0"/>
              <w:jc w:val="center"/>
              <w:rPr>
                <w:rFonts w:hint="default" w:ascii="Times New Roman" w:hAnsi="Times New Roman" w:cs="Times New Roman"/>
                <w:color w:val="auto"/>
              </w:rPr>
            </w:pPr>
          </w:p>
        </w:tc>
        <w:tc>
          <w:tcPr>
            <w:tcW w:w="602" w:type="dxa"/>
            <w:vMerge w:val="continue"/>
            <w:tcBorders>
              <w:right w:val="nil"/>
            </w:tcBorders>
            <w:vAlign w:val="center"/>
          </w:tcPr>
          <w:p w14:paraId="43834854">
            <w:pPr>
              <w:pStyle w:val="23"/>
              <w:bidi w:val="0"/>
              <w:jc w:val="center"/>
              <w:rPr>
                <w:rFonts w:hint="default" w:ascii="Times New Roman" w:hAnsi="Times New Roman" w:cs="Times New Roman"/>
                <w:color w:val="auto"/>
              </w:rPr>
            </w:pPr>
          </w:p>
        </w:tc>
      </w:tr>
      <w:tr w14:paraId="7FD78FEC">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7" w:type="dxa"/>
            <w:vMerge w:val="continue"/>
            <w:tcBorders>
              <w:left w:val="nil"/>
            </w:tcBorders>
            <w:vAlign w:val="center"/>
          </w:tcPr>
          <w:p w14:paraId="4A79009F">
            <w:pPr>
              <w:pStyle w:val="23"/>
              <w:bidi w:val="0"/>
              <w:jc w:val="center"/>
              <w:rPr>
                <w:rFonts w:hint="default" w:ascii="Times New Roman" w:hAnsi="Times New Roman" w:cs="Times New Roman"/>
                <w:color w:val="auto"/>
              </w:rPr>
            </w:pPr>
          </w:p>
        </w:tc>
        <w:tc>
          <w:tcPr>
            <w:tcW w:w="1601" w:type="dxa"/>
            <w:vAlign w:val="center"/>
          </w:tcPr>
          <w:p w14:paraId="55FBBC30">
            <w:pPr>
              <w:pStyle w:val="23"/>
              <w:bidi w:val="0"/>
              <w:jc w:val="center"/>
              <w:rPr>
                <w:rFonts w:hint="default" w:ascii="Times New Roman" w:hAnsi="Times New Roman" w:cs="Times New Roman"/>
                <w:color w:val="auto"/>
                <w:lang w:val="en-US"/>
              </w:rPr>
            </w:pPr>
            <w:r>
              <w:rPr>
                <w:rFonts w:hint="default" w:ascii="Times New Roman" w:hAnsi="Times New Roman" w:cs="Times New Roman"/>
                <w:color w:val="auto"/>
              </w:rPr>
              <w:t>厂界下风向</w:t>
            </w:r>
            <w:r>
              <w:rPr>
                <w:rFonts w:hint="default" w:ascii="Times New Roman" w:hAnsi="Times New Roman" w:cs="Times New Roman"/>
                <w:color w:val="auto"/>
                <w:lang w:val="en-US" w:eastAsia="zh-CN"/>
              </w:rPr>
              <w:t>G4</w:t>
            </w:r>
          </w:p>
        </w:tc>
        <w:tc>
          <w:tcPr>
            <w:tcW w:w="1056" w:type="dxa"/>
            <w:vMerge w:val="continue"/>
            <w:vAlign w:val="center"/>
          </w:tcPr>
          <w:p w14:paraId="43EF5F1A">
            <w:pPr>
              <w:pStyle w:val="23"/>
              <w:bidi w:val="0"/>
              <w:jc w:val="center"/>
              <w:rPr>
                <w:rFonts w:hint="default" w:ascii="Times New Roman" w:hAnsi="Times New Roman" w:cs="Times New Roman"/>
                <w:color w:val="auto"/>
              </w:rPr>
            </w:pPr>
          </w:p>
        </w:tc>
        <w:tc>
          <w:tcPr>
            <w:tcW w:w="922" w:type="dxa"/>
            <w:vAlign w:val="center"/>
          </w:tcPr>
          <w:p w14:paraId="717970EB">
            <w:pPr>
              <w:pStyle w:val="23"/>
              <w:bidi w:val="0"/>
              <w:rPr>
                <w:rFonts w:hint="default" w:eastAsia="宋体"/>
                <w:color w:val="auto"/>
                <w:lang w:val="en-US" w:eastAsia="zh-CN"/>
              </w:rPr>
            </w:pPr>
            <w:r>
              <w:rPr>
                <w:rFonts w:hint="eastAsia"/>
                <w:color w:val="auto"/>
                <w:lang w:val="en-US" w:eastAsia="zh-CN"/>
              </w:rPr>
              <w:t>0.192</w:t>
            </w:r>
          </w:p>
        </w:tc>
        <w:tc>
          <w:tcPr>
            <w:tcW w:w="1017" w:type="dxa"/>
            <w:vAlign w:val="center"/>
          </w:tcPr>
          <w:p w14:paraId="2AB894D0">
            <w:pPr>
              <w:pStyle w:val="23"/>
              <w:bidi w:val="0"/>
              <w:rPr>
                <w:rFonts w:hint="default" w:eastAsia="宋体"/>
                <w:color w:val="auto"/>
                <w:lang w:val="en-US" w:eastAsia="zh-CN"/>
              </w:rPr>
            </w:pPr>
            <w:r>
              <w:rPr>
                <w:rFonts w:hint="eastAsia"/>
                <w:color w:val="auto"/>
                <w:lang w:val="en-US" w:eastAsia="zh-CN"/>
              </w:rPr>
              <w:t>0.251</w:t>
            </w:r>
          </w:p>
        </w:tc>
        <w:tc>
          <w:tcPr>
            <w:tcW w:w="815" w:type="dxa"/>
            <w:vAlign w:val="center"/>
          </w:tcPr>
          <w:p w14:paraId="4CA64902">
            <w:pPr>
              <w:pStyle w:val="23"/>
              <w:bidi w:val="0"/>
              <w:rPr>
                <w:rFonts w:hint="default" w:eastAsia="宋体"/>
                <w:color w:val="auto"/>
                <w:lang w:val="en-US" w:eastAsia="zh-CN"/>
              </w:rPr>
            </w:pPr>
            <w:r>
              <w:rPr>
                <w:rFonts w:hint="eastAsia"/>
                <w:color w:val="auto"/>
                <w:lang w:val="en-US" w:eastAsia="zh-CN"/>
              </w:rPr>
              <w:t>0.259</w:t>
            </w:r>
          </w:p>
        </w:tc>
        <w:tc>
          <w:tcPr>
            <w:tcW w:w="932" w:type="dxa"/>
            <w:vAlign w:val="center"/>
          </w:tcPr>
          <w:p w14:paraId="155E3640">
            <w:pPr>
              <w:pStyle w:val="23"/>
              <w:bidi w:val="0"/>
              <w:rPr>
                <w:rFonts w:hint="default" w:eastAsia="宋体"/>
                <w:color w:val="auto"/>
                <w:lang w:val="en-US" w:eastAsia="zh-CN"/>
              </w:rPr>
            </w:pPr>
            <w:r>
              <w:rPr>
                <w:rFonts w:hint="eastAsia"/>
                <w:color w:val="auto"/>
                <w:lang w:val="en-US" w:eastAsia="zh-CN"/>
              </w:rPr>
              <w:t>0.217</w:t>
            </w:r>
          </w:p>
        </w:tc>
        <w:tc>
          <w:tcPr>
            <w:tcW w:w="929" w:type="dxa"/>
            <w:vMerge w:val="continue"/>
            <w:vAlign w:val="center"/>
          </w:tcPr>
          <w:p w14:paraId="68667322">
            <w:pPr>
              <w:pStyle w:val="23"/>
              <w:bidi w:val="0"/>
              <w:rPr>
                <w:rFonts w:hint="eastAsia"/>
                <w:color w:val="auto"/>
                <w:lang w:val="en-US" w:eastAsia="zh-CN"/>
              </w:rPr>
            </w:pPr>
          </w:p>
        </w:tc>
        <w:tc>
          <w:tcPr>
            <w:tcW w:w="929" w:type="dxa"/>
            <w:gridSpan w:val="2"/>
            <w:vMerge w:val="continue"/>
            <w:vAlign w:val="center"/>
          </w:tcPr>
          <w:p w14:paraId="450BF4F7">
            <w:pPr>
              <w:pStyle w:val="23"/>
              <w:bidi w:val="0"/>
              <w:jc w:val="center"/>
              <w:rPr>
                <w:rFonts w:hint="default" w:ascii="Times New Roman" w:hAnsi="Times New Roman" w:cs="Times New Roman"/>
                <w:color w:val="auto"/>
              </w:rPr>
            </w:pPr>
          </w:p>
        </w:tc>
        <w:tc>
          <w:tcPr>
            <w:tcW w:w="602" w:type="dxa"/>
            <w:vMerge w:val="continue"/>
            <w:tcBorders>
              <w:right w:val="nil"/>
            </w:tcBorders>
            <w:vAlign w:val="center"/>
          </w:tcPr>
          <w:p w14:paraId="043A7D14">
            <w:pPr>
              <w:pStyle w:val="23"/>
              <w:bidi w:val="0"/>
              <w:jc w:val="center"/>
              <w:rPr>
                <w:rFonts w:hint="default" w:ascii="Times New Roman" w:hAnsi="Times New Roman" w:cs="Times New Roman"/>
                <w:color w:val="auto"/>
              </w:rPr>
            </w:pPr>
          </w:p>
        </w:tc>
      </w:tr>
      <w:tr w14:paraId="693AEDEC">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7" w:type="dxa"/>
            <w:vMerge w:val="continue"/>
            <w:tcBorders>
              <w:left w:val="nil"/>
            </w:tcBorders>
            <w:vAlign w:val="center"/>
          </w:tcPr>
          <w:p w14:paraId="5FA6D7B1">
            <w:pPr>
              <w:pStyle w:val="23"/>
              <w:bidi w:val="0"/>
              <w:jc w:val="center"/>
              <w:rPr>
                <w:rFonts w:hint="default" w:ascii="Times New Roman" w:hAnsi="Times New Roman" w:cs="Times New Roman"/>
                <w:color w:val="auto"/>
              </w:rPr>
            </w:pPr>
          </w:p>
        </w:tc>
        <w:tc>
          <w:tcPr>
            <w:tcW w:w="1601" w:type="dxa"/>
            <w:vAlign w:val="center"/>
          </w:tcPr>
          <w:p w14:paraId="63ACE34D">
            <w:pPr>
              <w:pStyle w:val="23"/>
              <w:bidi w:val="0"/>
              <w:jc w:val="center"/>
              <w:rPr>
                <w:rFonts w:hint="default" w:ascii="Times New Roman" w:hAnsi="Times New Roman" w:cs="Times New Roman"/>
                <w:color w:val="auto"/>
                <w:lang w:val="en-US"/>
              </w:rPr>
            </w:pPr>
            <w:r>
              <w:rPr>
                <w:rFonts w:hint="default" w:ascii="Times New Roman" w:hAnsi="Times New Roman" w:cs="Times New Roman"/>
                <w:color w:val="auto"/>
              </w:rPr>
              <w:t>厂界下风向</w:t>
            </w:r>
            <w:r>
              <w:rPr>
                <w:rFonts w:hint="default" w:ascii="Times New Roman" w:hAnsi="Times New Roman" w:cs="Times New Roman"/>
                <w:color w:val="auto"/>
                <w:lang w:val="en-US" w:eastAsia="zh-CN"/>
              </w:rPr>
              <w:t>G5</w:t>
            </w:r>
          </w:p>
        </w:tc>
        <w:tc>
          <w:tcPr>
            <w:tcW w:w="1056" w:type="dxa"/>
            <w:vMerge w:val="continue"/>
            <w:vAlign w:val="center"/>
          </w:tcPr>
          <w:p w14:paraId="53571A94">
            <w:pPr>
              <w:pStyle w:val="23"/>
              <w:bidi w:val="0"/>
              <w:jc w:val="center"/>
              <w:rPr>
                <w:rFonts w:hint="default" w:ascii="Times New Roman" w:hAnsi="Times New Roman" w:cs="Times New Roman"/>
                <w:color w:val="auto"/>
              </w:rPr>
            </w:pPr>
          </w:p>
        </w:tc>
        <w:tc>
          <w:tcPr>
            <w:tcW w:w="922" w:type="dxa"/>
            <w:vAlign w:val="center"/>
          </w:tcPr>
          <w:p w14:paraId="007D0BB9">
            <w:pPr>
              <w:pStyle w:val="23"/>
              <w:bidi w:val="0"/>
              <w:rPr>
                <w:rFonts w:hint="default" w:eastAsia="宋体"/>
                <w:color w:val="auto"/>
                <w:lang w:val="en-US" w:eastAsia="zh-CN"/>
              </w:rPr>
            </w:pPr>
            <w:r>
              <w:rPr>
                <w:rFonts w:hint="eastAsia"/>
                <w:color w:val="auto"/>
                <w:lang w:val="en-US" w:eastAsia="zh-CN"/>
              </w:rPr>
              <w:t>0.209</w:t>
            </w:r>
          </w:p>
        </w:tc>
        <w:tc>
          <w:tcPr>
            <w:tcW w:w="1017" w:type="dxa"/>
            <w:vAlign w:val="center"/>
          </w:tcPr>
          <w:p w14:paraId="7B348FD4">
            <w:pPr>
              <w:pStyle w:val="23"/>
              <w:bidi w:val="0"/>
              <w:rPr>
                <w:rFonts w:hint="default" w:eastAsia="宋体"/>
                <w:color w:val="auto"/>
                <w:lang w:val="en-US" w:eastAsia="zh-CN"/>
              </w:rPr>
            </w:pPr>
            <w:r>
              <w:rPr>
                <w:rFonts w:hint="eastAsia"/>
                <w:color w:val="auto"/>
                <w:lang w:val="en-US" w:eastAsia="zh-CN"/>
              </w:rPr>
              <w:t>0.248</w:t>
            </w:r>
          </w:p>
        </w:tc>
        <w:tc>
          <w:tcPr>
            <w:tcW w:w="815" w:type="dxa"/>
            <w:vAlign w:val="center"/>
          </w:tcPr>
          <w:p w14:paraId="547C1312">
            <w:pPr>
              <w:pStyle w:val="23"/>
              <w:bidi w:val="0"/>
              <w:rPr>
                <w:rFonts w:hint="default" w:eastAsia="宋体"/>
                <w:color w:val="auto"/>
                <w:lang w:val="en-US" w:eastAsia="zh-CN"/>
              </w:rPr>
            </w:pPr>
            <w:r>
              <w:rPr>
                <w:rFonts w:hint="eastAsia"/>
                <w:color w:val="auto"/>
                <w:lang w:val="en-US" w:eastAsia="zh-CN"/>
              </w:rPr>
              <w:t>0.225</w:t>
            </w:r>
          </w:p>
        </w:tc>
        <w:tc>
          <w:tcPr>
            <w:tcW w:w="932" w:type="dxa"/>
            <w:vAlign w:val="center"/>
          </w:tcPr>
          <w:p w14:paraId="5F32A106">
            <w:pPr>
              <w:pStyle w:val="23"/>
              <w:bidi w:val="0"/>
              <w:rPr>
                <w:rFonts w:hint="default" w:eastAsia="宋体"/>
                <w:color w:val="auto"/>
                <w:lang w:val="en-US" w:eastAsia="zh-CN"/>
              </w:rPr>
            </w:pPr>
            <w:r>
              <w:rPr>
                <w:rFonts w:hint="eastAsia"/>
                <w:color w:val="auto"/>
                <w:lang w:val="en-US" w:eastAsia="zh-CN"/>
              </w:rPr>
              <w:t>0.194</w:t>
            </w:r>
          </w:p>
        </w:tc>
        <w:tc>
          <w:tcPr>
            <w:tcW w:w="929" w:type="dxa"/>
            <w:vMerge w:val="continue"/>
            <w:vAlign w:val="center"/>
          </w:tcPr>
          <w:p w14:paraId="1ACB1577">
            <w:pPr>
              <w:pStyle w:val="23"/>
              <w:bidi w:val="0"/>
              <w:rPr>
                <w:rFonts w:hint="eastAsia"/>
                <w:color w:val="auto"/>
                <w:lang w:val="en-US" w:eastAsia="zh-CN"/>
              </w:rPr>
            </w:pPr>
          </w:p>
        </w:tc>
        <w:tc>
          <w:tcPr>
            <w:tcW w:w="929" w:type="dxa"/>
            <w:gridSpan w:val="2"/>
            <w:vMerge w:val="continue"/>
            <w:vAlign w:val="center"/>
          </w:tcPr>
          <w:p w14:paraId="6A1384D9">
            <w:pPr>
              <w:pStyle w:val="23"/>
              <w:bidi w:val="0"/>
              <w:jc w:val="center"/>
              <w:rPr>
                <w:rFonts w:hint="default" w:ascii="Times New Roman" w:hAnsi="Times New Roman" w:cs="Times New Roman"/>
                <w:color w:val="auto"/>
              </w:rPr>
            </w:pPr>
          </w:p>
        </w:tc>
        <w:tc>
          <w:tcPr>
            <w:tcW w:w="602" w:type="dxa"/>
            <w:vMerge w:val="continue"/>
            <w:tcBorders>
              <w:right w:val="nil"/>
            </w:tcBorders>
            <w:vAlign w:val="center"/>
          </w:tcPr>
          <w:p w14:paraId="3EA29C76">
            <w:pPr>
              <w:pStyle w:val="23"/>
              <w:bidi w:val="0"/>
              <w:jc w:val="center"/>
              <w:rPr>
                <w:rFonts w:hint="default" w:ascii="Times New Roman" w:hAnsi="Times New Roman" w:cs="Times New Roman"/>
                <w:color w:val="auto"/>
              </w:rPr>
            </w:pPr>
          </w:p>
        </w:tc>
      </w:tr>
      <w:tr w14:paraId="0AA17E06">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7" w:type="dxa"/>
            <w:vMerge w:val="restart"/>
            <w:tcBorders>
              <w:left w:val="nil"/>
            </w:tcBorders>
            <w:shd w:val="clear" w:color="auto" w:fill="auto"/>
            <w:vAlign w:val="center"/>
          </w:tcPr>
          <w:p w14:paraId="158B8DEC">
            <w:pPr>
              <w:pStyle w:val="23"/>
              <w:bidi w:val="0"/>
              <w:ind w:firstLine="0" w:firstLineChars="0"/>
              <w:jc w:val="center"/>
              <w:rPr>
                <w:rFonts w:hint="default" w:ascii="Times New Roman" w:hAnsi="Times New Roman" w:cs="Times New Roman"/>
                <w:color w:val="auto"/>
                <w:lang w:val="en-US"/>
              </w:rPr>
            </w:pPr>
            <w:r>
              <w:rPr>
                <w:rFonts w:hint="default" w:ascii="Times New Roman" w:hAnsi="Times New Roman" w:cs="Times New Roman"/>
                <w:color w:val="auto"/>
              </w:rPr>
              <w:t>20</w:t>
            </w:r>
            <w:r>
              <w:rPr>
                <w:rFonts w:hint="default" w:ascii="Times New Roman" w:hAnsi="Times New Roman" w:cs="Times New Roman"/>
                <w:color w:val="auto"/>
                <w:lang w:val="en-US" w:eastAsia="zh-CN"/>
              </w:rPr>
              <w:t>24</w:t>
            </w:r>
            <w:r>
              <w:rPr>
                <w:rFonts w:hint="default" w:ascii="Times New Roman" w:hAnsi="Times New Roman" w:cs="Times New Roman"/>
                <w:color w:val="auto"/>
              </w:rPr>
              <w:t>.</w:t>
            </w:r>
            <w:r>
              <w:rPr>
                <w:rFonts w:hint="eastAsia" w:cs="Times New Roman"/>
                <w:color w:val="auto"/>
                <w:lang w:val="en-US" w:eastAsia="zh-CN"/>
              </w:rPr>
              <w:t>10.11</w:t>
            </w:r>
          </w:p>
        </w:tc>
        <w:tc>
          <w:tcPr>
            <w:tcW w:w="1601" w:type="dxa"/>
            <w:shd w:val="clear" w:color="auto" w:fill="auto"/>
            <w:vAlign w:val="center"/>
          </w:tcPr>
          <w:p w14:paraId="1055D0A9">
            <w:pPr>
              <w:pStyle w:val="23"/>
              <w:bidi w:val="0"/>
              <w:ind w:firstLine="0" w:firstLineChars="0"/>
              <w:jc w:val="center"/>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cs="Times New Roman"/>
                <w:color w:val="auto"/>
              </w:rPr>
              <w:t>厂界上风向</w:t>
            </w:r>
            <w:r>
              <w:rPr>
                <w:rFonts w:hint="default" w:ascii="Times New Roman" w:hAnsi="Times New Roman" w:cs="Times New Roman"/>
                <w:color w:val="auto"/>
                <w:lang w:val="en-US" w:eastAsia="zh-CN"/>
              </w:rPr>
              <w:t>G2</w:t>
            </w:r>
          </w:p>
        </w:tc>
        <w:tc>
          <w:tcPr>
            <w:tcW w:w="1056" w:type="dxa"/>
            <w:vMerge w:val="restart"/>
            <w:shd w:val="clear" w:color="auto" w:fill="auto"/>
            <w:vAlign w:val="center"/>
          </w:tcPr>
          <w:p w14:paraId="4FBB6E58">
            <w:pPr>
              <w:pStyle w:val="23"/>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颗粒物</w:t>
            </w:r>
          </w:p>
        </w:tc>
        <w:tc>
          <w:tcPr>
            <w:tcW w:w="922" w:type="dxa"/>
            <w:shd w:val="clear" w:color="auto" w:fill="auto"/>
            <w:vAlign w:val="center"/>
          </w:tcPr>
          <w:p w14:paraId="2319271B">
            <w:pPr>
              <w:pStyle w:val="23"/>
              <w:bidi w:val="0"/>
              <w:ind w:firstLine="0" w:firstLineChars="0"/>
              <w:rPr>
                <w:rFonts w:hint="default"/>
                <w:color w:val="auto"/>
                <w:lang w:val="en-US" w:eastAsia="zh-CN"/>
              </w:rPr>
            </w:pPr>
            <w:r>
              <w:rPr>
                <w:color w:val="auto"/>
                <w:lang w:val="en-US" w:eastAsia="zh-CN"/>
              </w:rPr>
              <w:t>0.168L</w:t>
            </w:r>
          </w:p>
        </w:tc>
        <w:tc>
          <w:tcPr>
            <w:tcW w:w="1017" w:type="dxa"/>
            <w:shd w:val="clear" w:color="auto" w:fill="auto"/>
            <w:vAlign w:val="center"/>
          </w:tcPr>
          <w:p w14:paraId="2A1117EF">
            <w:pPr>
              <w:pStyle w:val="23"/>
              <w:bidi w:val="0"/>
              <w:ind w:firstLine="0" w:firstLineChars="0"/>
              <w:rPr>
                <w:rFonts w:hint="default"/>
                <w:color w:val="auto"/>
                <w:lang w:val="en-US" w:eastAsia="zh-CN"/>
              </w:rPr>
            </w:pPr>
            <w:r>
              <w:rPr>
                <w:color w:val="auto"/>
                <w:lang w:val="en-US" w:eastAsia="zh-CN"/>
              </w:rPr>
              <w:t>0.168L</w:t>
            </w:r>
          </w:p>
        </w:tc>
        <w:tc>
          <w:tcPr>
            <w:tcW w:w="815" w:type="dxa"/>
            <w:shd w:val="clear" w:color="auto" w:fill="auto"/>
            <w:vAlign w:val="center"/>
          </w:tcPr>
          <w:p w14:paraId="76A53E1F">
            <w:pPr>
              <w:pStyle w:val="23"/>
              <w:bidi w:val="0"/>
              <w:ind w:firstLine="0" w:firstLineChars="0"/>
              <w:rPr>
                <w:rFonts w:hint="default"/>
                <w:color w:val="auto"/>
                <w:lang w:val="en-US" w:eastAsia="zh-CN"/>
              </w:rPr>
            </w:pPr>
            <w:r>
              <w:rPr>
                <w:color w:val="auto"/>
                <w:lang w:val="en-US" w:eastAsia="zh-CN"/>
              </w:rPr>
              <w:t>0.168L</w:t>
            </w:r>
          </w:p>
        </w:tc>
        <w:tc>
          <w:tcPr>
            <w:tcW w:w="932" w:type="dxa"/>
            <w:shd w:val="clear" w:color="auto" w:fill="auto"/>
            <w:vAlign w:val="center"/>
          </w:tcPr>
          <w:p w14:paraId="1CFF38B4">
            <w:pPr>
              <w:pStyle w:val="23"/>
              <w:bidi w:val="0"/>
              <w:ind w:firstLine="0" w:firstLineChars="0"/>
              <w:rPr>
                <w:rFonts w:hint="default"/>
                <w:color w:val="auto"/>
                <w:lang w:val="en-US" w:eastAsia="zh-CN"/>
              </w:rPr>
            </w:pPr>
            <w:r>
              <w:rPr>
                <w:color w:val="auto"/>
                <w:lang w:val="en-US" w:eastAsia="zh-CN"/>
              </w:rPr>
              <w:t>0.168L</w:t>
            </w:r>
          </w:p>
        </w:tc>
        <w:tc>
          <w:tcPr>
            <w:tcW w:w="929" w:type="dxa"/>
            <w:vMerge w:val="restart"/>
            <w:vAlign w:val="center"/>
          </w:tcPr>
          <w:p w14:paraId="326AFF6F">
            <w:pPr>
              <w:pStyle w:val="23"/>
              <w:bidi w:val="0"/>
              <w:ind w:firstLine="0" w:firstLineChars="0"/>
              <w:rPr>
                <w:rFonts w:hint="default"/>
                <w:color w:val="auto"/>
                <w:lang w:val="en-US" w:eastAsia="zh-CN"/>
              </w:rPr>
            </w:pPr>
            <w:r>
              <w:rPr>
                <w:rFonts w:hint="eastAsia"/>
                <w:color w:val="auto"/>
                <w:lang w:val="en-US" w:eastAsia="zh-CN"/>
              </w:rPr>
              <w:t>0.253</w:t>
            </w:r>
          </w:p>
        </w:tc>
        <w:tc>
          <w:tcPr>
            <w:tcW w:w="929" w:type="dxa"/>
            <w:gridSpan w:val="2"/>
            <w:vMerge w:val="continue"/>
            <w:vAlign w:val="center"/>
          </w:tcPr>
          <w:p w14:paraId="2FFD01E4">
            <w:pPr>
              <w:pStyle w:val="23"/>
              <w:bidi w:val="0"/>
              <w:jc w:val="center"/>
              <w:rPr>
                <w:rFonts w:hint="default" w:ascii="Times New Roman" w:hAnsi="Times New Roman" w:cs="Times New Roman"/>
                <w:color w:val="auto"/>
              </w:rPr>
            </w:pPr>
          </w:p>
        </w:tc>
        <w:tc>
          <w:tcPr>
            <w:tcW w:w="602" w:type="dxa"/>
            <w:vMerge w:val="continue"/>
            <w:tcBorders>
              <w:right w:val="nil"/>
            </w:tcBorders>
            <w:vAlign w:val="center"/>
          </w:tcPr>
          <w:p w14:paraId="5EC2352B">
            <w:pPr>
              <w:pStyle w:val="23"/>
              <w:bidi w:val="0"/>
              <w:jc w:val="center"/>
              <w:rPr>
                <w:rFonts w:hint="default" w:ascii="Times New Roman" w:hAnsi="Times New Roman" w:cs="Times New Roman"/>
                <w:color w:val="auto"/>
              </w:rPr>
            </w:pPr>
          </w:p>
        </w:tc>
      </w:tr>
      <w:tr w14:paraId="6EB90BC2">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7" w:type="dxa"/>
            <w:vMerge w:val="continue"/>
            <w:tcBorders>
              <w:left w:val="nil"/>
            </w:tcBorders>
            <w:vAlign w:val="center"/>
          </w:tcPr>
          <w:p w14:paraId="79C4FE12">
            <w:pPr>
              <w:pStyle w:val="23"/>
              <w:bidi w:val="0"/>
              <w:jc w:val="center"/>
              <w:rPr>
                <w:rFonts w:hint="default" w:ascii="Times New Roman" w:hAnsi="Times New Roman" w:cs="Times New Roman"/>
                <w:color w:val="auto"/>
              </w:rPr>
            </w:pPr>
          </w:p>
        </w:tc>
        <w:tc>
          <w:tcPr>
            <w:tcW w:w="1601" w:type="dxa"/>
            <w:shd w:val="clear" w:color="auto" w:fill="auto"/>
            <w:vAlign w:val="center"/>
          </w:tcPr>
          <w:p w14:paraId="06830CFA">
            <w:pPr>
              <w:pStyle w:val="23"/>
              <w:bidi w:val="0"/>
              <w:ind w:firstLine="0" w:firstLineChars="0"/>
              <w:jc w:val="center"/>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cs="Times New Roman"/>
                <w:color w:val="auto"/>
              </w:rPr>
              <w:t>厂界下风向</w:t>
            </w:r>
            <w:r>
              <w:rPr>
                <w:rFonts w:hint="default" w:ascii="Times New Roman" w:hAnsi="Times New Roman" w:cs="Times New Roman"/>
                <w:color w:val="auto"/>
                <w:lang w:val="en-US" w:eastAsia="zh-CN"/>
              </w:rPr>
              <w:t>G3</w:t>
            </w:r>
          </w:p>
        </w:tc>
        <w:tc>
          <w:tcPr>
            <w:tcW w:w="1056" w:type="dxa"/>
            <w:vMerge w:val="continue"/>
            <w:vAlign w:val="center"/>
          </w:tcPr>
          <w:p w14:paraId="3B457921">
            <w:pPr>
              <w:pStyle w:val="23"/>
              <w:bidi w:val="0"/>
              <w:jc w:val="center"/>
              <w:rPr>
                <w:rFonts w:hint="default" w:ascii="Times New Roman" w:hAnsi="Times New Roman" w:cs="Times New Roman"/>
                <w:color w:val="auto"/>
              </w:rPr>
            </w:pPr>
          </w:p>
        </w:tc>
        <w:tc>
          <w:tcPr>
            <w:tcW w:w="922" w:type="dxa"/>
            <w:shd w:val="clear" w:color="auto" w:fill="auto"/>
            <w:vAlign w:val="center"/>
          </w:tcPr>
          <w:p w14:paraId="7636B132">
            <w:pPr>
              <w:pStyle w:val="23"/>
              <w:bidi w:val="0"/>
              <w:rPr>
                <w:rFonts w:hint="default" w:eastAsia="宋体"/>
                <w:color w:val="auto"/>
                <w:lang w:val="en-US" w:eastAsia="zh-CN"/>
              </w:rPr>
            </w:pPr>
            <w:r>
              <w:rPr>
                <w:rFonts w:hint="eastAsia"/>
                <w:color w:val="auto"/>
                <w:lang w:val="en-US" w:eastAsia="zh-CN"/>
              </w:rPr>
              <w:t>0.253</w:t>
            </w:r>
          </w:p>
        </w:tc>
        <w:tc>
          <w:tcPr>
            <w:tcW w:w="1017" w:type="dxa"/>
            <w:shd w:val="clear" w:color="auto" w:fill="auto"/>
            <w:vAlign w:val="center"/>
          </w:tcPr>
          <w:p w14:paraId="6936C505">
            <w:pPr>
              <w:pStyle w:val="23"/>
              <w:bidi w:val="0"/>
              <w:rPr>
                <w:rFonts w:hint="default" w:eastAsia="宋体"/>
                <w:color w:val="auto"/>
                <w:lang w:val="en-US" w:eastAsia="zh-CN"/>
              </w:rPr>
            </w:pPr>
            <w:r>
              <w:rPr>
                <w:rFonts w:hint="eastAsia"/>
                <w:color w:val="auto"/>
                <w:lang w:val="en-US" w:eastAsia="zh-CN"/>
              </w:rPr>
              <w:t>0.230</w:t>
            </w:r>
          </w:p>
        </w:tc>
        <w:tc>
          <w:tcPr>
            <w:tcW w:w="815" w:type="dxa"/>
            <w:shd w:val="clear" w:color="auto" w:fill="auto"/>
            <w:vAlign w:val="center"/>
          </w:tcPr>
          <w:p w14:paraId="6BE4063A">
            <w:pPr>
              <w:pStyle w:val="23"/>
              <w:bidi w:val="0"/>
              <w:rPr>
                <w:rFonts w:hint="default" w:eastAsia="宋体"/>
                <w:color w:val="auto"/>
                <w:lang w:val="en-US" w:eastAsia="zh-CN"/>
              </w:rPr>
            </w:pPr>
            <w:r>
              <w:rPr>
                <w:rFonts w:hint="eastAsia"/>
                <w:color w:val="auto"/>
                <w:lang w:val="en-US" w:eastAsia="zh-CN"/>
              </w:rPr>
              <w:t>0.215</w:t>
            </w:r>
          </w:p>
        </w:tc>
        <w:tc>
          <w:tcPr>
            <w:tcW w:w="932" w:type="dxa"/>
            <w:shd w:val="clear" w:color="auto" w:fill="auto"/>
            <w:vAlign w:val="center"/>
          </w:tcPr>
          <w:p w14:paraId="637B5351">
            <w:pPr>
              <w:pStyle w:val="23"/>
              <w:bidi w:val="0"/>
              <w:rPr>
                <w:rFonts w:hint="default" w:eastAsia="宋体"/>
                <w:color w:val="auto"/>
                <w:lang w:val="en-US" w:eastAsia="zh-CN"/>
              </w:rPr>
            </w:pPr>
            <w:r>
              <w:rPr>
                <w:rFonts w:hint="eastAsia"/>
                <w:color w:val="auto"/>
                <w:lang w:val="en-US" w:eastAsia="zh-CN"/>
              </w:rPr>
              <w:t>0.192</w:t>
            </w:r>
          </w:p>
        </w:tc>
        <w:tc>
          <w:tcPr>
            <w:tcW w:w="929" w:type="dxa"/>
            <w:vMerge w:val="continue"/>
            <w:vAlign w:val="center"/>
          </w:tcPr>
          <w:p w14:paraId="22466670">
            <w:pPr>
              <w:pStyle w:val="23"/>
              <w:bidi w:val="0"/>
              <w:rPr>
                <w:rFonts w:hint="eastAsia"/>
                <w:color w:val="auto"/>
                <w:lang w:val="en-US" w:eastAsia="zh-CN"/>
              </w:rPr>
            </w:pPr>
          </w:p>
        </w:tc>
        <w:tc>
          <w:tcPr>
            <w:tcW w:w="929" w:type="dxa"/>
            <w:gridSpan w:val="2"/>
            <w:vMerge w:val="continue"/>
            <w:vAlign w:val="center"/>
          </w:tcPr>
          <w:p w14:paraId="798BBC7B">
            <w:pPr>
              <w:pStyle w:val="23"/>
              <w:bidi w:val="0"/>
              <w:jc w:val="center"/>
              <w:rPr>
                <w:rFonts w:hint="default" w:ascii="Times New Roman" w:hAnsi="Times New Roman" w:cs="Times New Roman"/>
                <w:color w:val="auto"/>
              </w:rPr>
            </w:pPr>
          </w:p>
        </w:tc>
        <w:tc>
          <w:tcPr>
            <w:tcW w:w="602" w:type="dxa"/>
            <w:vMerge w:val="continue"/>
            <w:tcBorders>
              <w:right w:val="nil"/>
            </w:tcBorders>
            <w:vAlign w:val="center"/>
          </w:tcPr>
          <w:p w14:paraId="3FA10CEB">
            <w:pPr>
              <w:pStyle w:val="23"/>
              <w:bidi w:val="0"/>
              <w:jc w:val="center"/>
              <w:rPr>
                <w:rFonts w:hint="default" w:ascii="Times New Roman" w:hAnsi="Times New Roman" w:cs="Times New Roman"/>
                <w:color w:val="auto"/>
              </w:rPr>
            </w:pPr>
          </w:p>
        </w:tc>
      </w:tr>
      <w:tr w14:paraId="0BC83563">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97" w:type="dxa"/>
            <w:vMerge w:val="continue"/>
            <w:tcBorders>
              <w:left w:val="nil"/>
            </w:tcBorders>
            <w:vAlign w:val="center"/>
          </w:tcPr>
          <w:p w14:paraId="52909855">
            <w:pPr>
              <w:pStyle w:val="23"/>
              <w:bidi w:val="0"/>
              <w:jc w:val="center"/>
              <w:rPr>
                <w:rFonts w:hint="default" w:ascii="Times New Roman" w:hAnsi="Times New Roman" w:cs="Times New Roman"/>
                <w:color w:val="auto"/>
              </w:rPr>
            </w:pPr>
          </w:p>
        </w:tc>
        <w:tc>
          <w:tcPr>
            <w:tcW w:w="1601" w:type="dxa"/>
            <w:shd w:val="clear" w:color="auto" w:fill="auto"/>
            <w:vAlign w:val="center"/>
          </w:tcPr>
          <w:p w14:paraId="4C7D3829">
            <w:pPr>
              <w:pStyle w:val="23"/>
              <w:bidi w:val="0"/>
              <w:ind w:firstLine="0" w:firstLineChars="0"/>
              <w:jc w:val="center"/>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cs="Times New Roman"/>
                <w:color w:val="auto"/>
              </w:rPr>
              <w:t>厂界下风向</w:t>
            </w:r>
            <w:r>
              <w:rPr>
                <w:rFonts w:hint="default" w:ascii="Times New Roman" w:hAnsi="Times New Roman" w:cs="Times New Roman"/>
                <w:color w:val="auto"/>
                <w:lang w:val="en-US" w:eastAsia="zh-CN"/>
              </w:rPr>
              <w:t>G4</w:t>
            </w:r>
          </w:p>
        </w:tc>
        <w:tc>
          <w:tcPr>
            <w:tcW w:w="1056" w:type="dxa"/>
            <w:vMerge w:val="continue"/>
            <w:vAlign w:val="center"/>
          </w:tcPr>
          <w:p w14:paraId="73550C97">
            <w:pPr>
              <w:pStyle w:val="23"/>
              <w:bidi w:val="0"/>
              <w:jc w:val="center"/>
              <w:rPr>
                <w:rFonts w:hint="default" w:ascii="Times New Roman" w:hAnsi="Times New Roman" w:cs="Times New Roman"/>
                <w:color w:val="auto"/>
              </w:rPr>
            </w:pPr>
          </w:p>
        </w:tc>
        <w:tc>
          <w:tcPr>
            <w:tcW w:w="922" w:type="dxa"/>
            <w:shd w:val="clear" w:color="auto" w:fill="auto"/>
            <w:vAlign w:val="center"/>
          </w:tcPr>
          <w:p w14:paraId="46075065">
            <w:pPr>
              <w:pStyle w:val="23"/>
              <w:bidi w:val="0"/>
              <w:rPr>
                <w:rFonts w:hint="default" w:eastAsia="宋体"/>
                <w:color w:val="auto"/>
                <w:lang w:val="en-US" w:eastAsia="zh-CN"/>
              </w:rPr>
            </w:pPr>
            <w:r>
              <w:rPr>
                <w:rFonts w:hint="eastAsia"/>
                <w:color w:val="auto"/>
                <w:lang w:val="en-US" w:eastAsia="zh-CN"/>
              </w:rPr>
              <w:t>0.242</w:t>
            </w:r>
          </w:p>
        </w:tc>
        <w:tc>
          <w:tcPr>
            <w:tcW w:w="1017" w:type="dxa"/>
            <w:shd w:val="clear" w:color="auto" w:fill="auto"/>
            <w:vAlign w:val="center"/>
          </w:tcPr>
          <w:p w14:paraId="39F36325">
            <w:pPr>
              <w:pStyle w:val="23"/>
              <w:bidi w:val="0"/>
              <w:rPr>
                <w:rFonts w:hint="default"/>
                <w:color w:val="auto"/>
                <w:lang w:val="en-US" w:eastAsia="en-US"/>
              </w:rPr>
            </w:pPr>
            <w:r>
              <w:rPr>
                <w:rFonts w:hint="eastAsia"/>
                <w:color w:val="auto"/>
                <w:lang w:val="en-US" w:eastAsia="zh-CN"/>
              </w:rPr>
              <w:t>0.250</w:t>
            </w:r>
          </w:p>
        </w:tc>
        <w:tc>
          <w:tcPr>
            <w:tcW w:w="815" w:type="dxa"/>
            <w:shd w:val="clear" w:color="auto" w:fill="auto"/>
            <w:vAlign w:val="center"/>
          </w:tcPr>
          <w:p w14:paraId="20415416">
            <w:pPr>
              <w:pStyle w:val="23"/>
              <w:bidi w:val="0"/>
              <w:rPr>
                <w:rFonts w:hint="default" w:eastAsia="宋体"/>
                <w:color w:val="auto"/>
                <w:lang w:val="en-US" w:eastAsia="zh-CN"/>
              </w:rPr>
            </w:pPr>
            <w:r>
              <w:rPr>
                <w:rFonts w:hint="eastAsia"/>
                <w:color w:val="auto"/>
                <w:lang w:val="en-US" w:eastAsia="zh-CN"/>
              </w:rPr>
              <w:t>0.203</w:t>
            </w:r>
          </w:p>
        </w:tc>
        <w:tc>
          <w:tcPr>
            <w:tcW w:w="932" w:type="dxa"/>
            <w:shd w:val="clear" w:color="auto" w:fill="auto"/>
            <w:vAlign w:val="center"/>
          </w:tcPr>
          <w:p w14:paraId="0FBBD59B">
            <w:pPr>
              <w:pStyle w:val="23"/>
              <w:bidi w:val="0"/>
              <w:rPr>
                <w:rFonts w:hint="default" w:eastAsia="宋体"/>
                <w:color w:val="auto"/>
                <w:lang w:val="en-US" w:eastAsia="zh-CN"/>
              </w:rPr>
            </w:pPr>
            <w:r>
              <w:rPr>
                <w:rFonts w:hint="eastAsia"/>
                <w:color w:val="auto"/>
                <w:lang w:val="en-US" w:eastAsia="zh-CN"/>
              </w:rPr>
              <w:t>0.237</w:t>
            </w:r>
          </w:p>
        </w:tc>
        <w:tc>
          <w:tcPr>
            <w:tcW w:w="929" w:type="dxa"/>
            <w:vMerge w:val="continue"/>
            <w:vAlign w:val="center"/>
          </w:tcPr>
          <w:p w14:paraId="54A4F583">
            <w:pPr>
              <w:pStyle w:val="23"/>
              <w:bidi w:val="0"/>
              <w:rPr>
                <w:rFonts w:hint="eastAsia"/>
                <w:color w:val="auto"/>
                <w:lang w:val="en-US" w:eastAsia="zh-CN"/>
              </w:rPr>
            </w:pPr>
          </w:p>
        </w:tc>
        <w:tc>
          <w:tcPr>
            <w:tcW w:w="929" w:type="dxa"/>
            <w:gridSpan w:val="2"/>
            <w:vMerge w:val="continue"/>
            <w:vAlign w:val="center"/>
          </w:tcPr>
          <w:p w14:paraId="0EFA318B">
            <w:pPr>
              <w:pStyle w:val="23"/>
              <w:bidi w:val="0"/>
              <w:jc w:val="center"/>
              <w:rPr>
                <w:rFonts w:hint="default" w:ascii="Times New Roman" w:hAnsi="Times New Roman" w:cs="Times New Roman"/>
                <w:color w:val="auto"/>
              </w:rPr>
            </w:pPr>
          </w:p>
        </w:tc>
        <w:tc>
          <w:tcPr>
            <w:tcW w:w="602" w:type="dxa"/>
            <w:vMerge w:val="continue"/>
            <w:tcBorders>
              <w:right w:val="nil"/>
            </w:tcBorders>
            <w:vAlign w:val="center"/>
          </w:tcPr>
          <w:p w14:paraId="385D1CBC">
            <w:pPr>
              <w:pStyle w:val="23"/>
              <w:bidi w:val="0"/>
              <w:jc w:val="center"/>
              <w:rPr>
                <w:rFonts w:hint="default" w:ascii="Times New Roman" w:hAnsi="Times New Roman" w:cs="Times New Roman"/>
                <w:color w:val="auto"/>
              </w:rPr>
            </w:pPr>
          </w:p>
        </w:tc>
      </w:tr>
      <w:tr w14:paraId="673C168A">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97" w:type="dxa"/>
            <w:vMerge w:val="continue"/>
            <w:tcBorders>
              <w:left w:val="nil"/>
            </w:tcBorders>
            <w:vAlign w:val="center"/>
          </w:tcPr>
          <w:p w14:paraId="3498E900">
            <w:pPr>
              <w:pStyle w:val="23"/>
              <w:bidi w:val="0"/>
              <w:jc w:val="center"/>
              <w:rPr>
                <w:rFonts w:hint="default" w:ascii="Times New Roman" w:hAnsi="Times New Roman" w:cs="Times New Roman"/>
                <w:color w:val="auto"/>
              </w:rPr>
            </w:pPr>
          </w:p>
        </w:tc>
        <w:tc>
          <w:tcPr>
            <w:tcW w:w="1601" w:type="dxa"/>
            <w:shd w:val="clear" w:color="auto" w:fill="auto"/>
            <w:vAlign w:val="center"/>
          </w:tcPr>
          <w:p w14:paraId="218B02DF">
            <w:pPr>
              <w:pStyle w:val="23"/>
              <w:bidi w:val="0"/>
              <w:ind w:firstLine="0" w:firstLineChars="0"/>
              <w:jc w:val="center"/>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cs="Times New Roman"/>
                <w:color w:val="auto"/>
              </w:rPr>
              <w:t>厂界下风向</w:t>
            </w:r>
            <w:r>
              <w:rPr>
                <w:rFonts w:hint="default" w:ascii="Times New Roman" w:hAnsi="Times New Roman" w:cs="Times New Roman"/>
                <w:color w:val="auto"/>
                <w:lang w:val="en-US" w:eastAsia="zh-CN"/>
              </w:rPr>
              <w:t>G5</w:t>
            </w:r>
          </w:p>
        </w:tc>
        <w:tc>
          <w:tcPr>
            <w:tcW w:w="1056" w:type="dxa"/>
            <w:vMerge w:val="continue"/>
            <w:vAlign w:val="center"/>
          </w:tcPr>
          <w:p w14:paraId="0519A09D">
            <w:pPr>
              <w:pStyle w:val="23"/>
              <w:bidi w:val="0"/>
              <w:jc w:val="center"/>
              <w:rPr>
                <w:rFonts w:hint="default" w:ascii="Times New Roman" w:hAnsi="Times New Roman" w:cs="Times New Roman"/>
                <w:color w:val="auto"/>
              </w:rPr>
            </w:pPr>
          </w:p>
        </w:tc>
        <w:tc>
          <w:tcPr>
            <w:tcW w:w="922" w:type="dxa"/>
            <w:shd w:val="clear" w:color="auto" w:fill="auto"/>
            <w:vAlign w:val="center"/>
          </w:tcPr>
          <w:p w14:paraId="6960E4DE">
            <w:pPr>
              <w:pStyle w:val="23"/>
              <w:bidi w:val="0"/>
              <w:rPr>
                <w:rFonts w:hint="default" w:eastAsia="宋体"/>
                <w:color w:val="auto"/>
                <w:lang w:val="en-US" w:eastAsia="zh-CN"/>
              </w:rPr>
            </w:pPr>
            <w:r>
              <w:rPr>
                <w:rFonts w:hint="eastAsia"/>
                <w:color w:val="auto"/>
                <w:lang w:val="en-US" w:eastAsia="zh-CN"/>
              </w:rPr>
              <w:t>0.209</w:t>
            </w:r>
          </w:p>
        </w:tc>
        <w:tc>
          <w:tcPr>
            <w:tcW w:w="1017" w:type="dxa"/>
            <w:shd w:val="clear" w:color="auto" w:fill="auto"/>
            <w:vAlign w:val="center"/>
          </w:tcPr>
          <w:p w14:paraId="642CCBD4">
            <w:pPr>
              <w:pStyle w:val="23"/>
              <w:bidi w:val="0"/>
              <w:rPr>
                <w:rFonts w:hint="default" w:eastAsia="宋体"/>
                <w:color w:val="auto"/>
                <w:lang w:val="en-US" w:eastAsia="zh-CN"/>
              </w:rPr>
            </w:pPr>
            <w:r>
              <w:rPr>
                <w:rFonts w:hint="eastAsia"/>
                <w:color w:val="auto"/>
                <w:lang w:val="en-US" w:eastAsia="zh-CN"/>
              </w:rPr>
              <w:t>0.218</w:t>
            </w:r>
          </w:p>
        </w:tc>
        <w:tc>
          <w:tcPr>
            <w:tcW w:w="815" w:type="dxa"/>
            <w:shd w:val="clear" w:color="auto" w:fill="auto"/>
            <w:vAlign w:val="center"/>
          </w:tcPr>
          <w:p w14:paraId="74AD9C22">
            <w:pPr>
              <w:pStyle w:val="23"/>
              <w:bidi w:val="0"/>
              <w:rPr>
                <w:rFonts w:hint="default" w:eastAsia="宋体"/>
                <w:color w:val="auto"/>
                <w:lang w:val="en-US" w:eastAsia="zh-CN"/>
              </w:rPr>
            </w:pPr>
            <w:r>
              <w:rPr>
                <w:rFonts w:hint="eastAsia"/>
                <w:color w:val="auto"/>
                <w:lang w:val="en-US" w:eastAsia="zh-CN"/>
              </w:rPr>
              <w:t>0.228</w:t>
            </w:r>
          </w:p>
        </w:tc>
        <w:tc>
          <w:tcPr>
            <w:tcW w:w="932" w:type="dxa"/>
            <w:shd w:val="clear" w:color="auto" w:fill="auto"/>
            <w:vAlign w:val="center"/>
          </w:tcPr>
          <w:p w14:paraId="23A23118">
            <w:pPr>
              <w:pStyle w:val="23"/>
              <w:bidi w:val="0"/>
              <w:rPr>
                <w:rFonts w:hint="default" w:eastAsia="宋体"/>
                <w:color w:val="auto"/>
                <w:lang w:val="en-US" w:eastAsia="zh-CN"/>
              </w:rPr>
            </w:pPr>
            <w:r>
              <w:rPr>
                <w:rFonts w:hint="eastAsia"/>
                <w:color w:val="auto"/>
                <w:lang w:val="en-US" w:eastAsia="zh-CN"/>
              </w:rPr>
              <w:t>0.224</w:t>
            </w:r>
          </w:p>
        </w:tc>
        <w:tc>
          <w:tcPr>
            <w:tcW w:w="929" w:type="dxa"/>
            <w:vMerge w:val="continue"/>
            <w:vAlign w:val="center"/>
          </w:tcPr>
          <w:p w14:paraId="59F27CBE">
            <w:pPr>
              <w:pStyle w:val="23"/>
              <w:bidi w:val="0"/>
              <w:rPr>
                <w:rFonts w:hint="eastAsia"/>
                <w:color w:val="auto"/>
                <w:lang w:val="en-US" w:eastAsia="zh-CN"/>
              </w:rPr>
            </w:pPr>
          </w:p>
        </w:tc>
        <w:tc>
          <w:tcPr>
            <w:tcW w:w="929" w:type="dxa"/>
            <w:gridSpan w:val="2"/>
            <w:vMerge w:val="continue"/>
            <w:vAlign w:val="center"/>
          </w:tcPr>
          <w:p w14:paraId="6677A742">
            <w:pPr>
              <w:pStyle w:val="23"/>
              <w:bidi w:val="0"/>
              <w:jc w:val="center"/>
              <w:rPr>
                <w:rFonts w:hint="default" w:ascii="Times New Roman" w:hAnsi="Times New Roman" w:cs="Times New Roman"/>
                <w:color w:val="auto"/>
              </w:rPr>
            </w:pPr>
          </w:p>
        </w:tc>
        <w:tc>
          <w:tcPr>
            <w:tcW w:w="602" w:type="dxa"/>
            <w:vMerge w:val="continue"/>
            <w:tcBorders>
              <w:right w:val="nil"/>
            </w:tcBorders>
            <w:vAlign w:val="center"/>
          </w:tcPr>
          <w:p w14:paraId="1D320107">
            <w:pPr>
              <w:pStyle w:val="23"/>
              <w:bidi w:val="0"/>
              <w:jc w:val="center"/>
              <w:rPr>
                <w:rFonts w:hint="default" w:ascii="Times New Roman" w:hAnsi="Times New Roman" w:cs="Times New Roman"/>
                <w:color w:val="auto"/>
              </w:rPr>
            </w:pPr>
          </w:p>
        </w:tc>
      </w:tr>
      <w:tr w14:paraId="7DA13986">
        <w:tblPrEx>
          <w:tblBorders>
            <w:top w:val="single" w:color="auto" w:sz="12" w:space="0"/>
            <w:left w:val="single" w:color="000000" w:sz="2" w:space="0"/>
            <w:bottom w:val="single" w:color="auto" w:sz="12" w:space="0"/>
            <w:right w:val="single" w:color="000000"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071" w:type="dxa"/>
            <w:gridSpan w:val="9"/>
            <w:tcBorders>
              <w:left w:val="nil"/>
              <w:right w:val="nil"/>
            </w:tcBorders>
            <w:vAlign w:val="center"/>
          </w:tcPr>
          <w:p w14:paraId="7325783E">
            <w:pPr>
              <w:pStyle w:val="23"/>
              <w:bidi w:val="0"/>
              <w:jc w:val="left"/>
              <w:rPr>
                <w:rFonts w:hint="default" w:ascii="Times New Roman" w:hAnsi="Times New Roman" w:cs="Times New Roman"/>
                <w:color w:val="auto"/>
              </w:rPr>
            </w:pPr>
            <w:r>
              <w:rPr>
                <w:rFonts w:hint="eastAsia" w:cs="Times New Roman"/>
                <w:color w:val="auto"/>
                <w:lang w:val="en-US" w:eastAsia="zh-CN"/>
              </w:rPr>
              <w:t>备注：</w:t>
            </w:r>
            <w:r>
              <w:rPr>
                <w:rFonts w:hint="default" w:ascii="Times New Roman" w:hAnsi="Times New Roman" w:cs="Times New Roman"/>
                <w:color w:val="auto"/>
              </w:rPr>
              <w:t>表中检测数据后面</w:t>
            </w:r>
            <w:r>
              <w:rPr>
                <w:rFonts w:hint="eastAsia" w:cs="Times New Roman"/>
                <w:color w:val="auto"/>
                <w:lang w:eastAsia="zh-CN"/>
              </w:rPr>
              <w:t>“</w:t>
            </w:r>
            <w:r>
              <w:rPr>
                <w:rFonts w:hint="default" w:ascii="Times New Roman" w:hAnsi="Times New Roman" w:cs="Times New Roman"/>
                <w:color w:val="auto"/>
              </w:rPr>
              <w:t>L</w:t>
            </w:r>
            <w:r>
              <w:rPr>
                <w:rFonts w:hint="eastAsia" w:cs="Times New Roman"/>
                <w:color w:val="auto"/>
                <w:lang w:eastAsia="zh-CN"/>
              </w:rPr>
              <w:t>”</w:t>
            </w:r>
            <w:r>
              <w:rPr>
                <w:rFonts w:hint="default" w:ascii="Times New Roman" w:hAnsi="Times New Roman" w:cs="Times New Roman"/>
                <w:color w:val="auto"/>
              </w:rPr>
              <w:t>表示检测结果低于方法检出限</w:t>
            </w:r>
          </w:p>
        </w:tc>
        <w:tc>
          <w:tcPr>
            <w:tcW w:w="929" w:type="dxa"/>
            <w:gridSpan w:val="2"/>
            <w:tcBorders>
              <w:left w:val="nil"/>
              <w:right w:val="nil"/>
            </w:tcBorders>
            <w:vAlign w:val="center"/>
          </w:tcPr>
          <w:p w14:paraId="7C7F51B6">
            <w:pPr>
              <w:pStyle w:val="23"/>
              <w:bidi w:val="0"/>
              <w:jc w:val="left"/>
              <w:rPr>
                <w:rFonts w:hint="eastAsia" w:cs="Times New Roman"/>
                <w:color w:val="auto"/>
                <w:lang w:val="en-US" w:eastAsia="zh-CN"/>
              </w:rPr>
            </w:pPr>
          </w:p>
        </w:tc>
      </w:tr>
    </w:tbl>
    <w:p w14:paraId="3BDA7C62">
      <w:pPr>
        <w:pStyle w:val="5"/>
        <w:bidi w:val="0"/>
        <w:rPr>
          <w:rFonts w:hint="default" w:ascii="Times New Roman" w:hAnsi="Times New Roman" w:cs="Times New Roman"/>
          <w:color w:val="auto"/>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"9.2.1.2" </w:instrText>
      </w:r>
      <w:r>
        <w:rPr>
          <w:rFonts w:hint="default" w:ascii="Times New Roman" w:hAnsi="Times New Roman" w:cs="Times New Roman"/>
          <w:color w:val="auto"/>
        </w:rPr>
        <w:fldChar w:fldCharType="separate"/>
      </w:r>
      <w:r>
        <w:rPr>
          <w:rFonts w:hint="default" w:ascii="Times New Roman" w:hAnsi="Times New Roman" w:cs="Times New Roman"/>
          <w:color w:val="auto"/>
        </w:rPr>
        <w:t>9.2.</w:t>
      </w:r>
      <w:r>
        <w:rPr>
          <w:rFonts w:hint="default" w:ascii="Times New Roman" w:hAnsi="Times New Roman" w:cs="Times New Roman"/>
          <w:color w:val="auto"/>
          <w:lang w:val="en-US" w:eastAsia="zh-CN"/>
        </w:rPr>
        <w:t>1</w:t>
      </w: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auto"/>
        </w:rPr>
        <w:fldChar w:fldCharType="end"/>
      </w:r>
      <w:r>
        <w:rPr>
          <w:rFonts w:hint="default" w:ascii="Times New Roman" w:hAnsi="Times New Roman" w:cs="Times New Roman"/>
          <w:color w:val="auto"/>
        </w:rPr>
        <w:t>厂界噪声</w:t>
      </w:r>
    </w:p>
    <w:p w14:paraId="6D7B85AB">
      <w:pPr>
        <w:bidi w:val="0"/>
        <w:rPr>
          <w:rFonts w:hint="default" w:ascii="Times New Roman" w:hAnsi="Times New Roman" w:cs="Times New Roman"/>
          <w:color w:val="auto"/>
        </w:rPr>
      </w:pPr>
      <w:r>
        <w:rPr>
          <w:rFonts w:hint="eastAsia" w:ascii="Times New Roman" w:hAnsi="Times New Roman"/>
          <w:color w:val="auto"/>
          <w:kern w:val="1"/>
          <w:u w:val="none"/>
          <w:lang w:val="en-US" w:eastAsia="zh-CN"/>
        </w:rPr>
        <w:t>本</w:t>
      </w:r>
      <w:r>
        <w:rPr>
          <w:rFonts w:hint="eastAsia" w:ascii="Times New Roman" w:hAnsi="Times New Roman"/>
          <w:color w:val="auto"/>
          <w:kern w:val="1"/>
          <w:u w:val="none"/>
        </w:rPr>
        <w:t>项目</w:t>
      </w:r>
      <w:r>
        <w:rPr>
          <w:rFonts w:hint="eastAsia" w:ascii="Times New Roman" w:hAnsi="Times New Roman"/>
          <w:color w:val="auto"/>
          <w:kern w:val="1"/>
          <w:u w:val="none"/>
          <w:lang w:val="en-US" w:eastAsia="zh-CN"/>
        </w:rPr>
        <w:t>每天工作时长8小时</w:t>
      </w:r>
      <w:r>
        <w:rPr>
          <w:rFonts w:hint="eastAsia" w:ascii="Times New Roman" w:hAnsi="Times New Roman"/>
          <w:color w:val="auto"/>
          <w:kern w:val="1"/>
          <w:u w:val="none"/>
          <w:lang w:eastAsia="zh-CN"/>
        </w:rPr>
        <w:t>（</w:t>
      </w:r>
      <w:r>
        <w:rPr>
          <w:rFonts w:hint="eastAsia" w:ascii="Times New Roman" w:hAnsi="Times New Roman"/>
          <w:color w:val="auto"/>
          <w:kern w:val="1"/>
          <w:u w:val="none"/>
          <w:lang w:val="en-US" w:eastAsia="zh-CN"/>
        </w:rPr>
        <w:t>7:30~12：00，14:00~17:30</w:t>
      </w:r>
      <w:r>
        <w:rPr>
          <w:rFonts w:hint="eastAsia" w:ascii="Times New Roman" w:hAnsi="Times New Roman"/>
          <w:color w:val="auto"/>
          <w:kern w:val="1"/>
          <w:u w:val="none"/>
          <w:lang w:eastAsia="zh-CN"/>
        </w:rPr>
        <w:t>），</w:t>
      </w:r>
      <w:r>
        <w:rPr>
          <w:rFonts w:hint="default" w:ascii="Times New Roman" w:hAnsi="Times New Roman" w:cs="Times New Roman"/>
          <w:color w:val="auto"/>
        </w:rPr>
        <w:t>项目厂界噪声监测结果见表9</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4</w:t>
      </w:r>
      <w:r>
        <w:rPr>
          <w:rFonts w:hint="default" w:ascii="Times New Roman" w:hAnsi="Times New Roman" w:cs="Times New Roman"/>
          <w:color w:val="auto"/>
        </w:rPr>
        <w:t>。根据监测结果，项目验收期间厂界昼间噪声</w:t>
      </w:r>
      <w:r>
        <w:rPr>
          <w:rFonts w:hint="default" w:ascii="Times New Roman" w:hAnsi="Times New Roman" w:cs="Times New Roman"/>
          <w:color w:val="auto"/>
          <w:lang w:val="en-US" w:eastAsia="zh-CN"/>
        </w:rPr>
        <w:t>45</w:t>
      </w:r>
      <w:r>
        <w:rPr>
          <w:rFonts w:hint="default" w:ascii="Times New Roman" w:hAnsi="Times New Roman" w:cs="Times New Roman"/>
          <w:color w:val="auto"/>
        </w:rPr>
        <w:t>~</w:t>
      </w:r>
      <w:r>
        <w:rPr>
          <w:rFonts w:hint="default" w:ascii="Times New Roman" w:hAnsi="Times New Roman" w:cs="Times New Roman"/>
          <w:color w:val="auto"/>
          <w:lang w:val="en-US" w:eastAsia="zh-CN"/>
        </w:rPr>
        <w:t>57</w:t>
      </w:r>
      <w:r>
        <w:rPr>
          <w:rFonts w:hint="default" w:ascii="Times New Roman" w:hAnsi="Times New Roman" w:cs="Times New Roman"/>
          <w:color w:val="auto"/>
        </w:rPr>
        <w:t>dB，满足《工业企业厂界环境噪声排放标准》（GB12348-2008）中的2类标准限值要求。</w:t>
      </w:r>
    </w:p>
    <w:p w14:paraId="3771C66E">
      <w:pPr>
        <w:pStyle w:val="21"/>
        <w:bidi w:val="0"/>
        <w:rPr>
          <w:rFonts w:hint="default" w:ascii="Times New Roman" w:hAnsi="Times New Roman" w:cs="Times New Roman"/>
          <w:color w:val="auto"/>
        </w:rPr>
      </w:pPr>
      <w:r>
        <w:rPr>
          <w:rFonts w:hint="default" w:ascii="Times New Roman" w:hAnsi="Times New Roman" w:cs="Times New Roman"/>
          <w:color w:val="auto"/>
        </w:rPr>
        <w:t>表9</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 xml:space="preserve">4 </w:t>
      </w:r>
      <w:r>
        <w:rPr>
          <w:rFonts w:hint="default" w:ascii="Times New Roman" w:hAnsi="Times New Roman" w:cs="Times New Roman"/>
          <w:color w:val="auto"/>
        </w:rPr>
        <w:t>项目厂界噪声监测结果</w:t>
      </w:r>
    </w:p>
    <w:tbl>
      <w:tblPr>
        <w:tblStyle w:val="20"/>
        <w:tblW w:w="9071" w:type="dxa"/>
        <w:jc w:val="center"/>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69"/>
        <w:gridCol w:w="2516"/>
        <w:gridCol w:w="1998"/>
        <w:gridCol w:w="1241"/>
        <w:gridCol w:w="1347"/>
      </w:tblGrid>
      <w:tr w14:paraId="5674F481">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jc w:val="center"/>
        </w:trPr>
        <w:tc>
          <w:tcPr>
            <w:tcW w:w="1969" w:type="dxa"/>
            <w:tcBorders>
              <w:left w:val="nil"/>
            </w:tcBorders>
            <w:vAlign w:val="center"/>
          </w:tcPr>
          <w:p w14:paraId="71D4B3DC">
            <w:pPr>
              <w:pStyle w:val="23"/>
              <w:bidi w:val="0"/>
              <w:jc w:val="center"/>
              <w:rPr>
                <w:rFonts w:hint="default" w:ascii="Times New Roman" w:hAnsi="Times New Roman" w:cs="Times New Roman"/>
                <w:color w:val="auto"/>
              </w:rPr>
            </w:pPr>
            <w:r>
              <w:rPr>
                <w:rFonts w:hint="default" w:ascii="Times New Roman" w:hAnsi="Times New Roman" w:cs="Times New Roman"/>
                <w:color w:val="auto"/>
              </w:rPr>
              <w:t>检测日期</w:t>
            </w:r>
          </w:p>
        </w:tc>
        <w:tc>
          <w:tcPr>
            <w:tcW w:w="2516" w:type="dxa"/>
            <w:vAlign w:val="center"/>
          </w:tcPr>
          <w:p w14:paraId="372543F9">
            <w:pPr>
              <w:pStyle w:val="23"/>
              <w:bidi w:val="0"/>
              <w:jc w:val="center"/>
              <w:rPr>
                <w:rFonts w:hint="default" w:ascii="Times New Roman" w:hAnsi="Times New Roman" w:cs="Times New Roman"/>
                <w:color w:val="auto"/>
              </w:rPr>
            </w:pPr>
            <w:r>
              <w:rPr>
                <w:rFonts w:hint="default" w:ascii="Times New Roman" w:hAnsi="Times New Roman" w:cs="Times New Roman"/>
                <w:color w:val="auto"/>
              </w:rPr>
              <w:t>检测点位</w:t>
            </w:r>
          </w:p>
        </w:tc>
        <w:tc>
          <w:tcPr>
            <w:tcW w:w="1998" w:type="dxa"/>
            <w:tcBorders>
              <w:right w:val="single" w:color="000000" w:sz="2" w:space="0"/>
            </w:tcBorders>
            <w:vAlign w:val="center"/>
          </w:tcPr>
          <w:p w14:paraId="1DC6A411">
            <w:pPr>
              <w:pStyle w:val="23"/>
              <w:bidi w:val="0"/>
              <w:jc w:val="center"/>
              <w:rPr>
                <w:rFonts w:hint="default" w:ascii="Times New Roman" w:hAnsi="Times New Roman" w:cs="Times New Roman"/>
                <w:color w:val="auto"/>
              </w:rPr>
            </w:pPr>
            <w:r>
              <w:rPr>
                <w:rFonts w:hint="default" w:ascii="Times New Roman" w:hAnsi="Times New Roman" w:cs="Times New Roman"/>
                <w:color w:val="auto"/>
              </w:rPr>
              <w:t>测得值 Leq(dB)A</w:t>
            </w:r>
          </w:p>
        </w:tc>
        <w:tc>
          <w:tcPr>
            <w:tcW w:w="1241" w:type="dxa"/>
            <w:tcBorders>
              <w:left w:val="single" w:color="000000" w:sz="2" w:space="0"/>
              <w:right w:val="single" w:color="000000" w:sz="2" w:space="0"/>
            </w:tcBorders>
            <w:vAlign w:val="center"/>
          </w:tcPr>
          <w:p w14:paraId="46125403">
            <w:pPr>
              <w:pStyle w:val="23"/>
              <w:bidi w:val="0"/>
              <w:jc w:val="center"/>
              <w:rPr>
                <w:rFonts w:hint="default" w:ascii="Times New Roman" w:hAnsi="Times New Roman" w:cs="Times New Roman"/>
                <w:color w:val="auto"/>
              </w:rPr>
            </w:pPr>
            <w:r>
              <w:rPr>
                <w:rFonts w:hint="default" w:ascii="Times New Roman" w:hAnsi="Times New Roman" w:cs="Times New Roman"/>
                <w:color w:val="auto"/>
              </w:rPr>
              <w:t>限值要求</w:t>
            </w:r>
          </w:p>
        </w:tc>
        <w:tc>
          <w:tcPr>
            <w:tcW w:w="1347" w:type="dxa"/>
            <w:tcBorders>
              <w:left w:val="single" w:color="000000" w:sz="2" w:space="0"/>
              <w:right w:val="nil"/>
            </w:tcBorders>
            <w:vAlign w:val="center"/>
          </w:tcPr>
          <w:p w14:paraId="238BD55A">
            <w:pPr>
              <w:pStyle w:val="23"/>
              <w:bidi w:val="0"/>
              <w:jc w:val="center"/>
              <w:rPr>
                <w:rFonts w:hint="default" w:ascii="Times New Roman" w:hAnsi="Times New Roman" w:cs="Times New Roman"/>
                <w:color w:val="auto"/>
              </w:rPr>
            </w:pPr>
            <w:r>
              <w:rPr>
                <w:rFonts w:hint="default" w:ascii="Times New Roman" w:hAnsi="Times New Roman" w:cs="Times New Roman"/>
                <w:color w:val="auto"/>
              </w:rPr>
              <w:t>结论符合</w:t>
            </w:r>
          </w:p>
        </w:tc>
      </w:tr>
      <w:tr w14:paraId="57554EDB">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969" w:type="dxa"/>
            <w:vMerge w:val="restart"/>
            <w:tcBorders>
              <w:left w:val="nil"/>
              <w:bottom w:val="nil"/>
            </w:tcBorders>
            <w:vAlign w:val="center"/>
          </w:tcPr>
          <w:p w14:paraId="3F507D59">
            <w:pPr>
              <w:pStyle w:val="23"/>
              <w:bidi w:val="0"/>
              <w:jc w:val="center"/>
              <w:rPr>
                <w:rFonts w:hint="default" w:ascii="Times New Roman" w:hAnsi="Times New Roman" w:cs="Times New Roman"/>
                <w:color w:val="auto"/>
              </w:rPr>
            </w:pPr>
            <w:r>
              <w:rPr>
                <w:rFonts w:hint="default" w:ascii="Times New Roman" w:hAnsi="Times New Roman" w:cs="Times New Roman"/>
                <w:color w:val="auto"/>
              </w:rPr>
              <w:t>20</w:t>
            </w:r>
            <w:r>
              <w:rPr>
                <w:rFonts w:hint="default" w:ascii="Times New Roman" w:hAnsi="Times New Roman" w:cs="Times New Roman"/>
                <w:color w:val="auto"/>
                <w:lang w:val="en-US" w:eastAsia="zh-CN"/>
              </w:rPr>
              <w:t>24</w:t>
            </w:r>
            <w:r>
              <w:rPr>
                <w:rFonts w:hint="default" w:ascii="Times New Roman" w:hAnsi="Times New Roman" w:cs="Times New Roman"/>
                <w:color w:val="auto"/>
              </w:rPr>
              <w:t>.</w:t>
            </w:r>
            <w:r>
              <w:rPr>
                <w:rFonts w:hint="default" w:ascii="Times New Roman" w:hAnsi="Times New Roman" w:cs="Times New Roman"/>
                <w:color w:val="auto"/>
                <w:lang w:val="en-US" w:eastAsia="zh-CN"/>
              </w:rPr>
              <w:t>9</w:t>
            </w:r>
            <w:r>
              <w:rPr>
                <w:rFonts w:hint="default" w:ascii="Times New Roman" w:hAnsi="Times New Roman" w:cs="Times New Roman"/>
                <w:color w:val="auto"/>
              </w:rPr>
              <w:t>.</w:t>
            </w:r>
            <w:r>
              <w:rPr>
                <w:rFonts w:hint="default" w:ascii="Times New Roman" w:hAnsi="Times New Roman" w:cs="Times New Roman"/>
                <w:color w:val="auto"/>
                <w:lang w:val="en-US" w:eastAsia="zh-CN"/>
              </w:rPr>
              <w:t>4</w:t>
            </w:r>
            <w:r>
              <w:rPr>
                <w:rFonts w:hint="default" w:ascii="Times New Roman" w:hAnsi="Times New Roman" w:cs="Times New Roman"/>
                <w:color w:val="auto"/>
              </w:rPr>
              <w:t>（昼）</w:t>
            </w:r>
          </w:p>
        </w:tc>
        <w:tc>
          <w:tcPr>
            <w:tcW w:w="2516" w:type="dxa"/>
            <w:vAlign w:val="center"/>
          </w:tcPr>
          <w:p w14:paraId="34468FA0">
            <w:pPr>
              <w:pStyle w:val="23"/>
              <w:bidi w:val="0"/>
              <w:jc w:val="center"/>
              <w:rPr>
                <w:rFonts w:hint="default" w:ascii="Times New Roman" w:hAnsi="Times New Roman" w:cs="Times New Roman"/>
                <w:color w:val="auto"/>
              </w:rPr>
            </w:pPr>
            <w:r>
              <w:rPr>
                <w:rFonts w:hint="default" w:ascii="Times New Roman" w:hAnsi="Times New Roman" w:cs="Times New Roman"/>
                <w:color w:val="auto"/>
              </w:rPr>
              <w:t>厂界西北▲1#</w:t>
            </w:r>
          </w:p>
        </w:tc>
        <w:tc>
          <w:tcPr>
            <w:tcW w:w="1998" w:type="dxa"/>
            <w:tcBorders>
              <w:right w:val="single" w:color="000000" w:sz="2" w:space="0"/>
            </w:tcBorders>
            <w:vAlign w:val="center"/>
          </w:tcPr>
          <w:p w14:paraId="5487050F">
            <w:pPr>
              <w:pStyle w:val="23"/>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47</w:t>
            </w:r>
          </w:p>
        </w:tc>
        <w:tc>
          <w:tcPr>
            <w:tcW w:w="1241" w:type="dxa"/>
            <w:vMerge w:val="restart"/>
            <w:tcBorders>
              <w:left w:val="single" w:color="000000" w:sz="2" w:space="0"/>
              <w:right w:val="single" w:color="000000" w:sz="2" w:space="0"/>
            </w:tcBorders>
            <w:vAlign w:val="center"/>
          </w:tcPr>
          <w:p w14:paraId="11E3285E">
            <w:pPr>
              <w:pStyle w:val="23"/>
              <w:bidi w:val="0"/>
              <w:jc w:val="center"/>
              <w:rPr>
                <w:rFonts w:hint="default" w:ascii="Times New Roman" w:hAnsi="Times New Roman" w:cs="Times New Roman"/>
                <w:color w:val="auto"/>
              </w:rPr>
            </w:pPr>
            <w:r>
              <w:rPr>
                <w:rFonts w:hint="default" w:ascii="Times New Roman" w:hAnsi="Times New Roman" w:cs="Times New Roman"/>
                <w:color w:val="auto"/>
              </w:rPr>
              <w:t>60</w:t>
            </w:r>
          </w:p>
        </w:tc>
        <w:tc>
          <w:tcPr>
            <w:tcW w:w="1347" w:type="dxa"/>
            <w:vMerge w:val="restart"/>
            <w:tcBorders>
              <w:left w:val="single" w:color="000000" w:sz="2" w:space="0"/>
              <w:right w:val="nil"/>
            </w:tcBorders>
            <w:vAlign w:val="center"/>
          </w:tcPr>
          <w:p w14:paraId="2A9DEA5F">
            <w:pPr>
              <w:pStyle w:val="23"/>
              <w:bidi w:val="0"/>
              <w:jc w:val="center"/>
              <w:rPr>
                <w:rFonts w:hint="default" w:ascii="Times New Roman" w:hAnsi="Times New Roman" w:cs="Times New Roman"/>
                <w:color w:val="auto"/>
              </w:rPr>
            </w:pPr>
            <w:r>
              <w:rPr>
                <w:rFonts w:hint="default" w:ascii="Times New Roman" w:hAnsi="Times New Roman" w:cs="Times New Roman"/>
                <w:color w:val="auto"/>
              </w:rPr>
              <w:t>达标</w:t>
            </w:r>
          </w:p>
        </w:tc>
      </w:tr>
      <w:tr w14:paraId="3C51A65C">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69" w:type="dxa"/>
            <w:vMerge w:val="continue"/>
            <w:tcBorders>
              <w:top w:val="nil"/>
              <w:left w:val="nil"/>
              <w:bottom w:val="nil"/>
            </w:tcBorders>
            <w:vAlign w:val="center"/>
          </w:tcPr>
          <w:p w14:paraId="1D6A8C6D">
            <w:pPr>
              <w:pStyle w:val="23"/>
              <w:bidi w:val="0"/>
              <w:jc w:val="center"/>
              <w:rPr>
                <w:rFonts w:hint="default" w:ascii="Times New Roman" w:hAnsi="Times New Roman" w:cs="Times New Roman"/>
                <w:color w:val="auto"/>
              </w:rPr>
            </w:pPr>
          </w:p>
        </w:tc>
        <w:tc>
          <w:tcPr>
            <w:tcW w:w="2516" w:type="dxa"/>
            <w:vAlign w:val="center"/>
          </w:tcPr>
          <w:p w14:paraId="0E9AF315">
            <w:pPr>
              <w:pStyle w:val="23"/>
              <w:bidi w:val="0"/>
              <w:jc w:val="center"/>
              <w:rPr>
                <w:rFonts w:hint="default" w:ascii="Times New Roman" w:hAnsi="Times New Roman" w:cs="Times New Roman"/>
                <w:color w:val="auto"/>
              </w:rPr>
            </w:pPr>
            <w:r>
              <w:rPr>
                <w:rFonts w:hint="default" w:ascii="Times New Roman" w:hAnsi="Times New Roman" w:cs="Times New Roman"/>
                <w:color w:val="auto"/>
              </w:rPr>
              <w:t>厂界西南▲2#</w:t>
            </w:r>
          </w:p>
        </w:tc>
        <w:tc>
          <w:tcPr>
            <w:tcW w:w="1998" w:type="dxa"/>
            <w:tcBorders>
              <w:right w:val="single" w:color="000000" w:sz="2" w:space="0"/>
            </w:tcBorders>
            <w:vAlign w:val="center"/>
          </w:tcPr>
          <w:p w14:paraId="637F9242">
            <w:pPr>
              <w:pStyle w:val="23"/>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57</w:t>
            </w:r>
          </w:p>
        </w:tc>
        <w:tc>
          <w:tcPr>
            <w:tcW w:w="1241" w:type="dxa"/>
            <w:vMerge w:val="continue"/>
            <w:tcBorders>
              <w:left w:val="single" w:color="000000" w:sz="2" w:space="0"/>
              <w:right w:val="single" w:color="000000" w:sz="2" w:space="0"/>
            </w:tcBorders>
            <w:vAlign w:val="center"/>
          </w:tcPr>
          <w:p w14:paraId="3676D1A2">
            <w:pPr>
              <w:pStyle w:val="23"/>
              <w:bidi w:val="0"/>
              <w:jc w:val="center"/>
              <w:rPr>
                <w:rFonts w:hint="default" w:ascii="Times New Roman" w:hAnsi="Times New Roman" w:cs="Times New Roman"/>
                <w:color w:val="auto"/>
              </w:rPr>
            </w:pPr>
          </w:p>
        </w:tc>
        <w:tc>
          <w:tcPr>
            <w:tcW w:w="1347" w:type="dxa"/>
            <w:vMerge w:val="continue"/>
            <w:tcBorders>
              <w:left w:val="single" w:color="000000" w:sz="2" w:space="0"/>
              <w:right w:val="nil"/>
            </w:tcBorders>
            <w:vAlign w:val="center"/>
          </w:tcPr>
          <w:p w14:paraId="7473BC30">
            <w:pPr>
              <w:pStyle w:val="23"/>
              <w:bidi w:val="0"/>
              <w:jc w:val="center"/>
              <w:rPr>
                <w:rFonts w:hint="default" w:ascii="Times New Roman" w:hAnsi="Times New Roman" w:cs="Times New Roman"/>
                <w:color w:val="auto"/>
              </w:rPr>
            </w:pPr>
          </w:p>
        </w:tc>
      </w:tr>
      <w:tr w14:paraId="4D9DD5AD">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1969" w:type="dxa"/>
            <w:vMerge w:val="continue"/>
            <w:tcBorders>
              <w:top w:val="nil"/>
              <w:left w:val="nil"/>
              <w:bottom w:val="nil"/>
            </w:tcBorders>
            <w:vAlign w:val="center"/>
          </w:tcPr>
          <w:p w14:paraId="5C8A3A14">
            <w:pPr>
              <w:pStyle w:val="23"/>
              <w:bidi w:val="0"/>
              <w:jc w:val="center"/>
              <w:rPr>
                <w:rFonts w:hint="default" w:ascii="Times New Roman" w:hAnsi="Times New Roman" w:cs="Times New Roman"/>
                <w:color w:val="auto"/>
              </w:rPr>
            </w:pPr>
          </w:p>
        </w:tc>
        <w:tc>
          <w:tcPr>
            <w:tcW w:w="2516" w:type="dxa"/>
            <w:vAlign w:val="center"/>
          </w:tcPr>
          <w:p w14:paraId="24BE4E9B">
            <w:pPr>
              <w:pStyle w:val="23"/>
              <w:bidi w:val="0"/>
              <w:jc w:val="center"/>
              <w:rPr>
                <w:rFonts w:hint="default" w:ascii="Times New Roman" w:hAnsi="Times New Roman" w:cs="Times New Roman"/>
                <w:color w:val="auto"/>
              </w:rPr>
            </w:pPr>
            <w:r>
              <w:rPr>
                <w:rFonts w:hint="default" w:ascii="Times New Roman" w:hAnsi="Times New Roman" w:cs="Times New Roman"/>
                <w:color w:val="auto"/>
              </w:rPr>
              <w:t>厂界东南▲3#</w:t>
            </w:r>
          </w:p>
        </w:tc>
        <w:tc>
          <w:tcPr>
            <w:tcW w:w="1998" w:type="dxa"/>
            <w:tcBorders>
              <w:right w:val="single" w:color="000000" w:sz="2" w:space="0"/>
            </w:tcBorders>
            <w:vAlign w:val="center"/>
          </w:tcPr>
          <w:p w14:paraId="5D57E7F3">
            <w:pPr>
              <w:pStyle w:val="23"/>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51</w:t>
            </w:r>
          </w:p>
        </w:tc>
        <w:tc>
          <w:tcPr>
            <w:tcW w:w="1241" w:type="dxa"/>
            <w:vMerge w:val="continue"/>
            <w:tcBorders>
              <w:left w:val="single" w:color="000000" w:sz="2" w:space="0"/>
              <w:right w:val="single" w:color="000000" w:sz="2" w:space="0"/>
            </w:tcBorders>
            <w:vAlign w:val="center"/>
          </w:tcPr>
          <w:p w14:paraId="1B5BD947">
            <w:pPr>
              <w:pStyle w:val="23"/>
              <w:bidi w:val="0"/>
              <w:jc w:val="center"/>
              <w:rPr>
                <w:rFonts w:hint="default" w:ascii="Times New Roman" w:hAnsi="Times New Roman" w:cs="Times New Roman"/>
                <w:color w:val="auto"/>
              </w:rPr>
            </w:pPr>
          </w:p>
        </w:tc>
        <w:tc>
          <w:tcPr>
            <w:tcW w:w="1347" w:type="dxa"/>
            <w:vMerge w:val="continue"/>
            <w:tcBorders>
              <w:left w:val="single" w:color="000000" w:sz="2" w:space="0"/>
              <w:right w:val="nil"/>
            </w:tcBorders>
            <w:vAlign w:val="center"/>
          </w:tcPr>
          <w:p w14:paraId="135BB0DD">
            <w:pPr>
              <w:pStyle w:val="23"/>
              <w:bidi w:val="0"/>
              <w:jc w:val="center"/>
              <w:rPr>
                <w:rFonts w:hint="default" w:ascii="Times New Roman" w:hAnsi="Times New Roman" w:cs="Times New Roman"/>
                <w:color w:val="auto"/>
              </w:rPr>
            </w:pPr>
          </w:p>
        </w:tc>
      </w:tr>
      <w:tr w14:paraId="7C23EC31">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1969" w:type="dxa"/>
            <w:vMerge w:val="continue"/>
            <w:tcBorders>
              <w:top w:val="nil"/>
              <w:left w:val="nil"/>
            </w:tcBorders>
            <w:vAlign w:val="center"/>
          </w:tcPr>
          <w:p w14:paraId="4884E20D">
            <w:pPr>
              <w:pStyle w:val="23"/>
              <w:bidi w:val="0"/>
              <w:jc w:val="center"/>
              <w:rPr>
                <w:rFonts w:hint="default" w:ascii="Times New Roman" w:hAnsi="Times New Roman" w:cs="Times New Roman"/>
                <w:color w:val="auto"/>
              </w:rPr>
            </w:pPr>
          </w:p>
        </w:tc>
        <w:tc>
          <w:tcPr>
            <w:tcW w:w="2516" w:type="dxa"/>
            <w:vAlign w:val="center"/>
          </w:tcPr>
          <w:p w14:paraId="2DBF5602">
            <w:pPr>
              <w:pStyle w:val="23"/>
              <w:bidi w:val="0"/>
              <w:jc w:val="center"/>
              <w:rPr>
                <w:rFonts w:hint="default" w:ascii="Times New Roman" w:hAnsi="Times New Roman" w:cs="Times New Roman"/>
                <w:color w:val="auto"/>
              </w:rPr>
            </w:pPr>
            <w:r>
              <w:rPr>
                <w:rFonts w:hint="default" w:ascii="Times New Roman" w:hAnsi="Times New Roman" w:cs="Times New Roman"/>
                <w:color w:val="auto"/>
              </w:rPr>
              <w:t>厂界东北▲4#</w:t>
            </w:r>
          </w:p>
        </w:tc>
        <w:tc>
          <w:tcPr>
            <w:tcW w:w="1998" w:type="dxa"/>
            <w:tcBorders>
              <w:right w:val="single" w:color="000000" w:sz="2" w:space="0"/>
            </w:tcBorders>
            <w:vAlign w:val="center"/>
          </w:tcPr>
          <w:p w14:paraId="62F7A2AF">
            <w:pPr>
              <w:pStyle w:val="23"/>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48</w:t>
            </w:r>
          </w:p>
        </w:tc>
        <w:tc>
          <w:tcPr>
            <w:tcW w:w="1241" w:type="dxa"/>
            <w:vMerge w:val="continue"/>
            <w:tcBorders>
              <w:left w:val="single" w:color="000000" w:sz="2" w:space="0"/>
              <w:right w:val="single" w:color="000000" w:sz="2" w:space="0"/>
            </w:tcBorders>
            <w:vAlign w:val="center"/>
          </w:tcPr>
          <w:p w14:paraId="02140B39">
            <w:pPr>
              <w:pStyle w:val="23"/>
              <w:bidi w:val="0"/>
              <w:jc w:val="center"/>
              <w:rPr>
                <w:rFonts w:hint="default" w:ascii="Times New Roman" w:hAnsi="Times New Roman" w:cs="Times New Roman"/>
                <w:color w:val="auto"/>
              </w:rPr>
            </w:pPr>
          </w:p>
        </w:tc>
        <w:tc>
          <w:tcPr>
            <w:tcW w:w="1347" w:type="dxa"/>
            <w:vMerge w:val="continue"/>
            <w:tcBorders>
              <w:left w:val="single" w:color="000000" w:sz="2" w:space="0"/>
              <w:right w:val="nil"/>
            </w:tcBorders>
            <w:vAlign w:val="center"/>
          </w:tcPr>
          <w:p w14:paraId="32C03A16">
            <w:pPr>
              <w:pStyle w:val="23"/>
              <w:bidi w:val="0"/>
              <w:jc w:val="center"/>
              <w:rPr>
                <w:rFonts w:hint="default" w:ascii="Times New Roman" w:hAnsi="Times New Roman" w:cs="Times New Roman"/>
                <w:color w:val="auto"/>
              </w:rPr>
            </w:pPr>
          </w:p>
        </w:tc>
      </w:tr>
      <w:tr w14:paraId="109D5676">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1969" w:type="dxa"/>
            <w:vMerge w:val="restart"/>
            <w:tcBorders>
              <w:left w:val="nil"/>
              <w:bottom w:val="nil"/>
            </w:tcBorders>
            <w:vAlign w:val="center"/>
          </w:tcPr>
          <w:p w14:paraId="024E9BE7">
            <w:pPr>
              <w:pStyle w:val="23"/>
              <w:bidi w:val="0"/>
              <w:jc w:val="center"/>
              <w:rPr>
                <w:rFonts w:hint="default" w:ascii="Times New Roman" w:hAnsi="Times New Roman" w:cs="Times New Roman"/>
                <w:color w:val="auto"/>
              </w:rPr>
            </w:pPr>
            <w:r>
              <w:rPr>
                <w:rFonts w:hint="default" w:ascii="Times New Roman" w:hAnsi="Times New Roman" w:cs="Times New Roman"/>
                <w:color w:val="auto"/>
              </w:rPr>
              <w:t>20</w:t>
            </w:r>
            <w:r>
              <w:rPr>
                <w:rFonts w:hint="default" w:ascii="Times New Roman" w:hAnsi="Times New Roman" w:cs="Times New Roman"/>
                <w:color w:val="auto"/>
                <w:lang w:val="en-US" w:eastAsia="zh-CN"/>
              </w:rPr>
              <w:t>24</w:t>
            </w:r>
            <w:r>
              <w:rPr>
                <w:rFonts w:hint="default" w:ascii="Times New Roman" w:hAnsi="Times New Roman" w:cs="Times New Roman"/>
                <w:color w:val="auto"/>
              </w:rPr>
              <w:t>.</w:t>
            </w:r>
            <w:r>
              <w:rPr>
                <w:rFonts w:hint="default" w:ascii="Times New Roman" w:hAnsi="Times New Roman" w:cs="Times New Roman"/>
                <w:color w:val="auto"/>
                <w:lang w:val="en-US" w:eastAsia="zh-CN"/>
              </w:rPr>
              <w:t>9</w:t>
            </w:r>
            <w:r>
              <w:rPr>
                <w:rFonts w:hint="default" w:ascii="Times New Roman" w:hAnsi="Times New Roman" w:cs="Times New Roman"/>
                <w:color w:val="auto"/>
              </w:rPr>
              <w:t>.</w:t>
            </w:r>
            <w:r>
              <w:rPr>
                <w:rFonts w:hint="default" w:ascii="Times New Roman" w:hAnsi="Times New Roman" w:cs="Times New Roman"/>
                <w:color w:val="auto"/>
                <w:lang w:val="en-US" w:eastAsia="zh-CN"/>
              </w:rPr>
              <w:t>5</w:t>
            </w:r>
            <w:r>
              <w:rPr>
                <w:rFonts w:hint="default" w:ascii="Times New Roman" w:hAnsi="Times New Roman" w:cs="Times New Roman"/>
                <w:color w:val="auto"/>
              </w:rPr>
              <w:t>（昼）</w:t>
            </w:r>
          </w:p>
        </w:tc>
        <w:tc>
          <w:tcPr>
            <w:tcW w:w="2516" w:type="dxa"/>
            <w:vAlign w:val="center"/>
          </w:tcPr>
          <w:p w14:paraId="2FECE432">
            <w:pPr>
              <w:pStyle w:val="23"/>
              <w:bidi w:val="0"/>
              <w:jc w:val="center"/>
              <w:rPr>
                <w:rFonts w:hint="default" w:ascii="Times New Roman" w:hAnsi="Times New Roman" w:cs="Times New Roman"/>
                <w:color w:val="auto"/>
              </w:rPr>
            </w:pPr>
            <w:r>
              <w:rPr>
                <w:rFonts w:hint="default" w:ascii="Times New Roman" w:hAnsi="Times New Roman" w:cs="Times New Roman"/>
                <w:color w:val="auto"/>
              </w:rPr>
              <w:t>厂界西北▲1#</w:t>
            </w:r>
          </w:p>
        </w:tc>
        <w:tc>
          <w:tcPr>
            <w:tcW w:w="1998" w:type="dxa"/>
            <w:tcBorders>
              <w:right w:val="single" w:color="000000" w:sz="2" w:space="0"/>
            </w:tcBorders>
            <w:vAlign w:val="center"/>
          </w:tcPr>
          <w:p w14:paraId="741D14A6">
            <w:pPr>
              <w:pStyle w:val="23"/>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45</w:t>
            </w:r>
          </w:p>
        </w:tc>
        <w:tc>
          <w:tcPr>
            <w:tcW w:w="1241" w:type="dxa"/>
            <w:vMerge w:val="restart"/>
            <w:tcBorders>
              <w:left w:val="single" w:color="000000" w:sz="2" w:space="0"/>
              <w:bottom w:val="nil"/>
              <w:right w:val="single" w:color="000000" w:sz="2" w:space="0"/>
            </w:tcBorders>
            <w:vAlign w:val="center"/>
          </w:tcPr>
          <w:p w14:paraId="211DFA58">
            <w:pPr>
              <w:pStyle w:val="23"/>
              <w:bidi w:val="0"/>
              <w:jc w:val="center"/>
              <w:rPr>
                <w:rFonts w:hint="default" w:ascii="Times New Roman" w:hAnsi="Times New Roman" w:cs="Times New Roman"/>
                <w:color w:val="auto"/>
              </w:rPr>
            </w:pPr>
            <w:r>
              <w:rPr>
                <w:rFonts w:hint="default" w:ascii="Times New Roman" w:hAnsi="Times New Roman" w:cs="Times New Roman"/>
                <w:color w:val="auto"/>
              </w:rPr>
              <w:t>60</w:t>
            </w:r>
          </w:p>
        </w:tc>
        <w:tc>
          <w:tcPr>
            <w:tcW w:w="1347" w:type="dxa"/>
            <w:vMerge w:val="restart"/>
            <w:tcBorders>
              <w:left w:val="single" w:color="000000" w:sz="2" w:space="0"/>
              <w:bottom w:val="nil"/>
              <w:right w:val="nil"/>
            </w:tcBorders>
            <w:vAlign w:val="center"/>
          </w:tcPr>
          <w:p w14:paraId="2465872C">
            <w:pPr>
              <w:pStyle w:val="23"/>
              <w:bidi w:val="0"/>
              <w:jc w:val="center"/>
              <w:rPr>
                <w:rFonts w:hint="default" w:ascii="Times New Roman" w:hAnsi="Times New Roman" w:cs="Times New Roman"/>
                <w:color w:val="auto"/>
              </w:rPr>
            </w:pPr>
            <w:r>
              <w:rPr>
                <w:rFonts w:hint="default" w:ascii="Times New Roman" w:hAnsi="Times New Roman" w:cs="Times New Roman"/>
                <w:color w:val="auto"/>
              </w:rPr>
              <w:t>达标</w:t>
            </w:r>
          </w:p>
        </w:tc>
      </w:tr>
      <w:tr w14:paraId="377544F7">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1969" w:type="dxa"/>
            <w:vMerge w:val="continue"/>
            <w:tcBorders>
              <w:top w:val="nil"/>
              <w:left w:val="nil"/>
              <w:bottom w:val="nil"/>
            </w:tcBorders>
            <w:vAlign w:val="center"/>
          </w:tcPr>
          <w:p w14:paraId="5A801ACD">
            <w:pPr>
              <w:pStyle w:val="23"/>
              <w:bidi w:val="0"/>
              <w:jc w:val="center"/>
              <w:rPr>
                <w:rFonts w:hint="default" w:ascii="Times New Roman" w:hAnsi="Times New Roman" w:cs="Times New Roman"/>
                <w:color w:val="auto"/>
              </w:rPr>
            </w:pPr>
          </w:p>
        </w:tc>
        <w:tc>
          <w:tcPr>
            <w:tcW w:w="2516" w:type="dxa"/>
            <w:vAlign w:val="center"/>
          </w:tcPr>
          <w:p w14:paraId="1E978978">
            <w:pPr>
              <w:pStyle w:val="23"/>
              <w:bidi w:val="0"/>
              <w:jc w:val="center"/>
              <w:rPr>
                <w:rFonts w:hint="default" w:ascii="Times New Roman" w:hAnsi="Times New Roman" w:cs="Times New Roman"/>
                <w:color w:val="auto"/>
              </w:rPr>
            </w:pPr>
            <w:r>
              <w:rPr>
                <w:rFonts w:hint="default" w:ascii="Times New Roman" w:hAnsi="Times New Roman" w:cs="Times New Roman"/>
                <w:color w:val="auto"/>
              </w:rPr>
              <w:t>厂界西南▲2#</w:t>
            </w:r>
          </w:p>
        </w:tc>
        <w:tc>
          <w:tcPr>
            <w:tcW w:w="1998" w:type="dxa"/>
            <w:tcBorders>
              <w:right w:val="single" w:color="000000" w:sz="2" w:space="0"/>
            </w:tcBorders>
            <w:vAlign w:val="center"/>
          </w:tcPr>
          <w:p w14:paraId="67091846">
            <w:pPr>
              <w:pStyle w:val="23"/>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52</w:t>
            </w:r>
          </w:p>
        </w:tc>
        <w:tc>
          <w:tcPr>
            <w:tcW w:w="1241" w:type="dxa"/>
            <w:vMerge w:val="continue"/>
            <w:tcBorders>
              <w:top w:val="nil"/>
              <w:left w:val="single" w:color="000000" w:sz="2" w:space="0"/>
              <w:bottom w:val="nil"/>
              <w:right w:val="single" w:color="000000" w:sz="2" w:space="0"/>
            </w:tcBorders>
            <w:vAlign w:val="center"/>
          </w:tcPr>
          <w:p w14:paraId="65ED4398">
            <w:pPr>
              <w:pStyle w:val="23"/>
              <w:bidi w:val="0"/>
              <w:jc w:val="center"/>
              <w:rPr>
                <w:rFonts w:hint="default" w:ascii="Times New Roman" w:hAnsi="Times New Roman" w:cs="Times New Roman"/>
                <w:color w:val="auto"/>
              </w:rPr>
            </w:pPr>
          </w:p>
        </w:tc>
        <w:tc>
          <w:tcPr>
            <w:tcW w:w="1347" w:type="dxa"/>
            <w:vMerge w:val="continue"/>
            <w:tcBorders>
              <w:top w:val="nil"/>
              <w:left w:val="single" w:color="000000" w:sz="2" w:space="0"/>
              <w:bottom w:val="nil"/>
              <w:right w:val="nil"/>
            </w:tcBorders>
            <w:vAlign w:val="center"/>
          </w:tcPr>
          <w:p w14:paraId="55BF954A">
            <w:pPr>
              <w:pStyle w:val="23"/>
              <w:bidi w:val="0"/>
              <w:jc w:val="center"/>
              <w:rPr>
                <w:rFonts w:hint="default" w:ascii="Times New Roman" w:hAnsi="Times New Roman" w:cs="Times New Roman"/>
                <w:color w:val="auto"/>
              </w:rPr>
            </w:pPr>
          </w:p>
        </w:tc>
      </w:tr>
      <w:tr w14:paraId="2BEBBE9C">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1969" w:type="dxa"/>
            <w:vMerge w:val="continue"/>
            <w:tcBorders>
              <w:top w:val="nil"/>
              <w:left w:val="nil"/>
              <w:bottom w:val="nil"/>
            </w:tcBorders>
            <w:vAlign w:val="center"/>
          </w:tcPr>
          <w:p w14:paraId="196235D6">
            <w:pPr>
              <w:pStyle w:val="23"/>
              <w:bidi w:val="0"/>
              <w:jc w:val="center"/>
              <w:rPr>
                <w:rFonts w:hint="default" w:ascii="Times New Roman" w:hAnsi="Times New Roman" w:cs="Times New Roman"/>
                <w:color w:val="auto"/>
              </w:rPr>
            </w:pPr>
          </w:p>
        </w:tc>
        <w:tc>
          <w:tcPr>
            <w:tcW w:w="2516" w:type="dxa"/>
            <w:vAlign w:val="center"/>
          </w:tcPr>
          <w:p w14:paraId="79F43638">
            <w:pPr>
              <w:pStyle w:val="23"/>
              <w:bidi w:val="0"/>
              <w:jc w:val="center"/>
              <w:rPr>
                <w:rFonts w:hint="default" w:ascii="Times New Roman" w:hAnsi="Times New Roman" w:cs="Times New Roman"/>
                <w:color w:val="auto"/>
              </w:rPr>
            </w:pPr>
            <w:r>
              <w:rPr>
                <w:rFonts w:hint="default" w:ascii="Times New Roman" w:hAnsi="Times New Roman" w:cs="Times New Roman"/>
                <w:color w:val="auto"/>
              </w:rPr>
              <w:t>厂界东南▲3#</w:t>
            </w:r>
          </w:p>
        </w:tc>
        <w:tc>
          <w:tcPr>
            <w:tcW w:w="1998" w:type="dxa"/>
            <w:tcBorders>
              <w:right w:val="single" w:color="000000" w:sz="2" w:space="0"/>
            </w:tcBorders>
            <w:vAlign w:val="center"/>
          </w:tcPr>
          <w:p w14:paraId="3A651958">
            <w:pPr>
              <w:pStyle w:val="23"/>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56</w:t>
            </w:r>
          </w:p>
        </w:tc>
        <w:tc>
          <w:tcPr>
            <w:tcW w:w="1241" w:type="dxa"/>
            <w:vMerge w:val="continue"/>
            <w:tcBorders>
              <w:top w:val="nil"/>
              <w:left w:val="single" w:color="000000" w:sz="2" w:space="0"/>
              <w:bottom w:val="nil"/>
              <w:right w:val="single" w:color="000000" w:sz="2" w:space="0"/>
            </w:tcBorders>
            <w:vAlign w:val="center"/>
          </w:tcPr>
          <w:p w14:paraId="55F82CA4">
            <w:pPr>
              <w:pStyle w:val="23"/>
              <w:bidi w:val="0"/>
              <w:jc w:val="center"/>
              <w:rPr>
                <w:rFonts w:hint="default" w:ascii="Times New Roman" w:hAnsi="Times New Roman" w:cs="Times New Roman"/>
                <w:color w:val="auto"/>
              </w:rPr>
            </w:pPr>
          </w:p>
        </w:tc>
        <w:tc>
          <w:tcPr>
            <w:tcW w:w="1347" w:type="dxa"/>
            <w:vMerge w:val="continue"/>
            <w:tcBorders>
              <w:top w:val="nil"/>
              <w:left w:val="single" w:color="000000" w:sz="2" w:space="0"/>
              <w:bottom w:val="nil"/>
              <w:right w:val="nil"/>
            </w:tcBorders>
            <w:vAlign w:val="center"/>
          </w:tcPr>
          <w:p w14:paraId="547BB224">
            <w:pPr>
              <w:pStyle w:val="23"/>
              <w:bidi w:val="0"/>
              <w:jc w:val="center"/>
              <w:rPr>
                <w:rFonts w:hint="default" w:ascii="Times New Roman" w:hAnsi="Times New Roman" w:cs="Times New Roman"/>
                <w:color w:val="auto"/>
              </w:rPr>
            </w:pPr>
          </w:p>
        </w:tc>
      </w:tr>
      <w:tr w14:paraId="63515E3E">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1969" w:type="dxa"/>
            <w:vMerge w:val="continue"/>
            <w:tcBorders>
              <w:top w:val="nil"/>
              <w:left w:val="nil"/>
            </w:tcBorders>
            <w:vAlign w:val="center"/>
          </w:tcPr>
          <w:p w14:paraId="49F42957">
            <w:pPr>
              <w:pStyle w:val="23"/>
              <w:bidi w:val="0"/>
              <w:jc w:val="center"/>
              <w:rPr>
                <w:rFonts w:hint="default" w:ascii="Times New Roman" w:hAnsi="Times New Roman" w:cs="Times New Roman"/>
                <w:color w:val="auto"/>
              </w:rPr>
            </w:pPr>
          </w:p>
        </w:tc>
        <w:tc>
          <w:tcPr>
            <w:tcW w:w="2516" w:type="dxa"/>
            <w:vAlign w:val="center"/>
          </w:tcPr>
          <w:p w14:paraId="50909A19">
            <w:pPr>
              <w:pStyle w:val="23"/>
              <w:bidi w:val="0"/>
              <w:jc w:val="center"/>
              <w:rPr>
                <w:rFonts w:hint="default" w:ascii="Times New Roman" w:hAnsi="Times New Roman" w:cs="Times New Roman"/>
                <w:color w:val="auto"/>
              </w:rPr>
            </w:pPr>
            <w:r>
              <w:rPr>
                <w:rFonts w:hint="default" w:ascii="Times New Roman" w:hAnsi="Times New Roman" w:cs="Times New Roman"/>
                <w:color w:val="auto"/>
              </w:rPr>
              <w:t>厂界东北▲4#</w:t>
            </w:r>
          </w:p>
        </w:tc>
        <w:tc>
          <w:tcPr>
            <w:tcW w:w="1998" w:type="dxa"/>
            <w:tcBorders>
              <w:right w:val="single" w:color="000000" w:sz="2" w:space="0"/>
            </w:tcBorders>
            <w:vAlign w:val="center"/>
          </w:tcPr>
          <w:p w14:paraId="4D8C5346">
            <w:pPr>
              <w:pStyle w:val="23"/>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45</w:t>
            </w:r>
          </w:p>
        </w:tc>
        <w:tc>
          <w:tcPr>
            <w:tcW w:w="1241" w:type="dxa"/>
            <w:vMerge w:val="continue"/>
            <w:tcBorders>
              <w:top w:val="nil"/>
              <w:left w:val="single" w:color="000000" w:sz="2" w:space="0"/>
              <w:right w:val="single" w:color="000000" w:sz="2" w:space="0"/>
            </w:tcBorders>
            <w:vAlign w:val="center"/>
          </w:tcPr>
          <w:p w14:paraId="28DD4FB0">
            <w:pPr>
              <w:pStyle w:val="23"/>
              <w:bidi w:val="0"/>
              <w:jc w:val="center"/>
              <w:rPr>
                <w:rFonts w:hint="default" w:ascii="Times New Roman" w:hAnsi="Times New Roman" w:cs="Times New Roman"/>
                <w:color w:val="auto"/>
              </w:rPr>
            </w:pPr>
          </w:p>
        </w:tc>
        <w:tc>
          <w:tcPr>
            <w:tcW w:w="1347" w:type="dxa"/>
            <w:vMerge w:val="continue"/>
            <w:tcBorders>
              <w:top w:val="nil"/>
              <w:left w:val="single" w:color="000000" w:sz="2" w:space="0"/>
              <w:right w:val="nil"/>
            </w:tcBorders>
            <w:vAlign w:val="center"/>
          </w:tcPr>
          <w:p w14:paraId="57A98AEF">
            <w:pPr>
              <w:pStyle w:val="23"/>
              <w:bidi w:val="0"/>
              <w:jc w:val="center"/>
              <w:rPr>
                <w:rFonts w:hint="default" w:ascii="Times New Roman" w:hAnsi="Times New Roman" w:cs="Times New Roman"/>
                <w:color w:val="auto"/>
              </w:rPr>
            </w:pPr>
          </w:p>
        </w:tc>
      </w:tr>
    </w:tbl>
    <w:p w14:paraId="2CC6E1C6">
      <w:pPr>
        <w:pStyle w:val="5"/>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9.2.1.4固废</w:t>
      </w:r>
    </w:p>
    <w:p w14:paraId="0C45C84C">
      <w:pPr>
        <w:spacing w:before="0" w:line="360" w:lineRule="auto"/>
        <w:ind w:left="0" w:firstLine="456" w:firstLineChars="200"/>
        <w:rPr>
          <w:rFonts w:hint="default" w:ascii="Times New Roman" w:hAnsi="Times New Roman" w:eastAsia="宋体" w:cs="Times New Roman"/>
          <w:color w:val="auto"/>
          <w:spacing w:val="-6"/>
          <w:sz w:val="24"/>
          <w:szCs w:val="24"/>
        </w:rPr>
      </w:pPr>
      <w:r>
        <w:rPr>
          <w:rFonts w:hint="default" w:ascii="Times New Roman" w:hAnsi="Times New Roman" w:eastAsia="宋体" w:cs="Times New Roman"/>
          <w:color w:val="auto"/>
          <w:spacing w:val="-6"/>
          <w:sz w:val="24"/>
          <w:szCs w:val="24"/>
        </w:rPr>
        <w:t>本项目产生的固体废物主要为生产过程中产生的固体废物</w:t>
      </w:r>
      <w:r>
        <w:rPr>
          <w:rFonts w:hint="eastAsia" w:cs="Times New Roman"/>
          <w:color w:val="auto"/>
          <w:spacing w:val="-6"/>
          <w:sz w:val="24"/>
          <w:szCs w:val="24"/>
          <w:lang w:val="en-US" w:eastAsia="zh-CN"/>
        </w:rPr>
        <w:t>及员工生活垃圾</w:t>
      </w:r>
      <w:r>
        <w:rPr>
          <w:rFonts w:hint="default" w:ascii="Times New Roman" w:hAnsi="Times New Roman" w:eastAsia="宋体" w:cs="Times New Roman"/>
          <w:color w:val="auto"/>
          <w:spacing w:val="-6"/>
          <w:sz w:val="24"/>
          <w:szCs w:val="24"/>
        </w:rPr>
        <w:t>。</w:t>
      </w:r>
    </w:p>
    <w:p w14:paraId="24E02C70">
      <w:pPr>
        <w:spacing w:before="0" w:line="360" w:lineRule="auto"/>
        <w:ind w:left="0" w:firstLine="480" w:firstLineChars="200"/>
        <w:rPr>
          <w:rFonts w:hint="default" w:ascii="Times New Roman" w:hAnsi="Times New Roman" w:eastAsia="宋体" w:cs="Times New Roman"/>
          <w:color w:val="auto"/>
          <w:spacing w:val="-6"/>
          <w:sz w:val="24"/>
          <w:szCs w:val="24"/>
        </w:rPr>
      </w:pPr>
      <w:r>
        <w:rPr>
          <w:rFonts w:hint="default" w:ascii="Times New Roman" w:hAnsi="Times New Roman" w:cs="Times New Roman"/>
          <w:color w:val="auto"/>
          <w:kern w:val="1"/>
          <w:u w:val="none"/>
          <w:lang w:val="en-US" w:eastAsia="zh-CN"/>
        </w:rPr>
        <w:t>本次扩建未新增员工，故未新增生活垃圾</w:t>
      </w:r>
      <w:r>
        <w:rPr>
          <w:rFonts w:hint="eastAsia" w:cs="Times New Roman"/>
          <w:color w:val="auto"/>
          <w:kern w:val="1"/>
          <w:u w:val="none"/>
          <w:lang w:eastAsia="zh-CN"/>
        </w:rPr>
        <w:t>，</w:t>
      </w:r>
      <w:r>
        <w:rPr>
          <w:rFonts w:hint="eastAsia" w:cs="Times New Roman"/>
          <w:color w:val="auto"/>
          <w:kern w:val="1"/>
          <w:u w:val="none"/>
          <w:lang w:val="en-US" w:eastAsia="zh-CN"/>
        </w:rPr>
        <w:t>全厂</w:t>
      </w:r>
      <w:r>
        <w:rPr>
          <w:rFonts w:hint="default" w:ascii="Times New Roman" w:hAnsi="Times New Roman" w:cs="Times New Roman"/>
          <w:color w:val="auto"/>
        </w:rPr>
        <w:t>生活垃圾由环卫部门统一收集处理</w:t>
      </w:r>
      <w:r>
        <w:rPr>
          <w:rFonts w:hint="eastAsia" w:ascii="Times New Roman" w:hAnsi="Times New Roman"/>
          <w:color w:val="auto"/>
          <w:u w:val="none"/>
          <w:lang w:eastAsia="zh-CN"/>
        </w:rPr>
        <w:t>。</w:t>
      </w:r>
    </w:p>
    <w:p w14:paraId="79790F3B">
      <w:pPr>
        <w:spacing w:line="360" w:lineRule="auto"/>
        <w:ind w:firstLine="480" w:firstLineChars="20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固体废物主要为布袋除尘器收集的粉尘</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kern w:val="1"/>
          <w:u w:val="none"/>
          <w:lang w:val="en-US" w:eastAsia="zh-CN"/>
        </w:rPr>
        <w:t>车间废水回用池产生的沉淀渣</w:t>
      </w:r>
      <w:r>
        <w:rPr>
          <w:rFonts w:hint="default" w:ascii="Times New Roman" w:hAnsi="Times New Roman" w:cs="Times New Roman"/>
          <w:color w:val="auto"/>
          <w:kern w:val="1"/>
          <w:u w:val="none"/>
        </w:rPr>
        <w:t>、不合格的飞灰固化体、定期更换的滤袋以及设备检修产生的含油抹布</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kern w:val="1"/>
          <w:u w:val="none"/>
          <w:lang w:val="en-US" w:eastAsia="zh-CN"/>
        </w:rPr>
        <w:t>废油桶</w:t>
      </w:r>
      <w:r>
        <w:rPr>
          <w:rFonts w:hint="eastAsia" w:cs="Times New Roman"/>
          <w:color w:val="auto"/>
          <w:kern w:val="1"/>
          <w:u w:val="none"/>
          <w:lang w:val="en-US" w:eastAsia="zh-CN"/>
        </w:rPr>
        <w:t>，生产过程中产生的废手套</w:t>
      </w:r>
      <w:r>
        <w:rPr>
          <w:rFonts w:hint="default" w:ascii="Times New Roman" w:hAnsi="Times New Roman" w:cs="Times New Roman"/>
          <w:color w:val="auto"/>
          <w:kern w:val="1"/>
          <w:u w:val="none"/>
        </w:rPr>
        <w:t>。</w:t>
      </w:r>
    </w:p>
    <w:p w14:paraId="1E9E7A87">
      <w:pPr>
        <w:spacing w:line="360" w:lineRule="auto"/>
        <w:ind w:firstLine="480" w:firstLineChars="200"/>
        <w:rPr>
          <w:rFonts w:hint="default" w:ascii="Times New Roman" w:hAnsi="Times New Roman" w:cs="Times New Roman"/>
          <w:color w:val="auto"/>
          <w:kern w:val="1"/>
          <w:u w:val="none"/>
        </w:rPr>
      </w:pPr>
      <w:r>
        <w:rPr>
          <w:rFonts w:hint="default" w:ascii="Times New Roman" w:hAnsi="Times New Roman" w:cs="Times New Roman"/>
          <w:color w:val="auto"/>
          <w:kern w:val="1"/>
          <w:u w:val="none"/>
        </w:rPr>
        <w:t>布袋除尘器收集的粉尘</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kern w:val="1"/>
          <w:u w:val="none"/>
          <w:lang w:val="en-US" w:eastAsia="zh-CN"/>
        </w:rPr>
        <w:t>废水回用池沉淀渣</w:t>
      </w:r>
      <w:r>
        <w:rPr>
          <w:rFonts w:hint="default" w:ascii="Times New Roman" w:hAnsi="Times New Roman" w:cs="Times New Roman"/>
          <w:color w:val="auto"/>
          <w:kern w:val="1"/>
          <w:u w:val="none"/>
        </w:rPr>
        <w:t>纳入飞灰固化系统一起处理合格后外运。对不合格的飞灰固化体经破碎后再通过螯合处理合格后外运。</w:t>
      </w:r>
    </w:p>
    <w:p w14:paraId="2FFCABC6">
      <w:pPr>
        <w:spacing w:line="360" w:lineRule="auto"/>
        <w:ind w:firstLine="480" w:firstLineChars="200"/>
        <w:rPr>
          <w:rFonts w:hint="default" w:ascii="Times New Roman" w:hAnsi="Times New Roman" w:cs="Times New Roman"/>
          <w:color w:val="auto"/>
          <w:kern w:val="1"/>
          <w:u w:val="none"/>
        </w:rPr>
      </w:pPr>
      <w:r>
        <w:rPr>
          <w:rFonts w:hint="eastAsia" w:cs="Times New Roman"/>
          <w:color w:val="auto"/>
          <w:kern w:val="1"/>
          <w:u w:val="none"/>
          <w:lang w:val="en-US" w:eastAsia="zh-CN"/>
        </w:rPr>
        <w:t>项目</w:t>
      </w:r>
      <w:r>
        <w:rPr>
          <w:rFonts w:hint="default" w:ascii="Times New Roman" w:hAnsi="Times New Roman" w:cs="Times New Roman"/>
          <w:color w:val="auto"/>
          <w:kern w:val="1"/>
          <w:u w:val="none"/>
          <w:lang w:val="en-US" w:eastAsia="zh-CN"/>
        </w:rPr>
        <w:t>产生</w:t>
      </w:r>
      <w:r>
        <w:rPr>
          <w:rFonts w:hint="eastAsia" w:cs="Times New Roman"/>
          <w:color w:val="auto"/>
          <w:kern w:val="1"/>
          <w:u w:val="none"/>
          <w:lang w:val="en-US" w:eastAsia="zh-CN"/>
        </w:rPr>
        <w:t>的</w:t>
      </w:r>
      <w:r>
        <w:rPr>
          <w:rFonts w:hint="default" w:ascii="Times New Roman" w:hAnsi="Times New Roman" w:cs="Times New Roman"/>
          <w:color w:val="auto"/>
          <w:kern w:val="1"/>
          <w:u w:val="none"/>
          <w:lang w:eastAsia="zh-CN"/>
        </w:rPr>
        <w:t>设备维修</w:t>
      </w:r>
      <w:r>
        <w:rPr>
          <w:rFonts w:hint="default" w:ascii="Times New Roman" w:hAnsi="Times New Roman" w:cs="Times New Roman"/>
          <w:color w:val="auto"/>
          <w:kern w:val="1"/>
          <w:u w:val="none"/>
          <w:lang w:val="en-US" w:eastAsia="zh-CN"/>
        </w:rPr>
        <w:t>使用润滑油</w:t>
      </w:r>
      <w:r>
        <w:rPr>
          <w:rFonts w:hint="default" w:ascii="Times New Roman" w:hAnsi="Times New Roman" w:cs="Times New Roman"/>
          <w:color w:val="auto"/>
          <w:kern w:val="1"/>
          <w:u w:val="none"/>
          <w:lang w:eastAsia="zh-CN"/>
        </w:rPr>
        <w:t>产生的</w:t>
      </w:r>
      <w:r>
        <w:rPr>
          <w:rFonts w:hint="default" w:ascii="Times New Roman" w:hAnsi="Times New Roman" w:cs="Times New Roman"/>
          <w:color w:val="auto"/>
          <w:kern w:val="1"/>
          <w:u w:val="none"/>
          <w:lang w:val="en-US" w:eastAsia="zh-CN"/>
        </w:rPr>
        <w:t>废油桶</w:t>
      </w:r>
      <w:r>
        <w:rPr>
          <w:rFonts w:hint="eastAsia" w:cs="Times New Roman"/>
          <w:color w:val="auto"/>
          <w:kern w:val="1"/>
          <w:u w:val="none"/>
          <w:lang w:val="en-US" w:eastAsia="zh-CN"/>
        </w:rPr>
        <w:t>0.2t/a，</w:t>
      </w:r>
      <w:r>
        <w:rPr>
          <w:rFonts w:hint="default" w:ascii="Times New Roman" w:hAnsi="Times New Roman" w:cs="Times New Roman"/>
          <w:color w:val="auto"/>
          <w:kern w:val="1"/>
          <w:u w:val="none"/>
          <w:lang w:val="en-US" w:eastAsia="zh-CN"/>
        </w:rPr>
        <w:t>破损滤袋</w:t>
      </w:r>
      <w:r>
        <w:rPr>
          <w:rFonts w:hint="eastAsia" w:cs="Times New Roman"/>
          <w:color w:val="auto"/>
          <w:kern w:val="1"/>
          <w:u w:val="none"/>
          <w:lang w:val="en-US" w:eastAsia="zh-CN"/>
        </w:rPr>
        <w:t>、废抹布、废手套1.6t/a</w:t>
      </w:r>
      <w:r>
        <w:rPr>
          <w:rFonts w:hint="default" w:ascii="Times New Roman" w:hAnsi="Times New Roman" w:cs="Times New Roman"/>
          <w:color w:val="auto"/>
          <w:kern w:val="1"/>
          <w:u w:val="none"/>
        </w:rPr>
        <w:t>，</w:t>
      </w:r>
      <w:r>
        <w:rPr>
          <w:rFonts w:hint="eastAsia" w:cs="Times New Roman"/>
          <w:color w:val="auto"/>
          <w:kern w:val="1"/>
          <w:u w:val="none"/>
          <w:lang w:eastAsia="zh-CN"/>
        </w:rPr>
        <w:t>按照危险废物</w:t>
      </w:r>
      <w:r>
        <w:rPr>
          <w:rFonts w:hint="default" w:ascii="Times New Roman" w:hAnsi="Times New Roman" w:cs="Times New Roman"/>
          <w:color w:val="auto"/>
          <w:kern w:val="1"/>
          <w:u w:val="none"/>
        </w:rPr>
        <w:t>的有关规定进行管理，收集后存放于危废暂存间，</w:t>
      </w:r>
      <w:r>
        <w:rPr>
          <w:rFonts w:hint="default" w:ascii="Times New Roman" w:hAnsi="Times New Roman" w:cs="Times New Roman"/>
          <w:color w:val="auto"/>
          <w:kern w:val="1"/>
          <w:u w:val="none"/>
          <w:lang w:val="en-US" w:eastAsia="zh-CN"/>
        </w:rPr>
        <w:t>再</w:t>
      </w:r>
      <w:r>
        <w:rPr>
          <w:rFonts w:hint="default" w:ascii="Times New Roman" w:hAnsi="Times New Roman" w:cs="Times New Roman"/>
          <w:color w:val="auto"/>
          <w:kern w:val="1"/>
          <w:u w:val="none"/>
        </w:rPr>
        <w:t>委托</w:t>
      </w:r>
      <w:r>
        <w:rPr>
          <w:rFonts w:hint="default" w:ascii="Times New Roman" w:hAnsi="Times New Roman" w:cs="Times New Roman"/>
          <w:color w:val="auto"/>
          <w:kern w:val="1"/>
          <w:u w:val="none"/>
          <w:lang w:val="en-US" w:eastAsia="zh-CN"/>
        </w:rPr>
        <w:t>福建深投海峡环保科技有限公司</w:t>
      </w:r>
      <w:r>
        <w:rPr>
          <w:rFonts w:hint="default" w:ascii="Times New Roman" w:hAnsi="Times New Roman" w:cs="Times New Roman"/>
          <w:color w:val="auto"/>
          <w:kern w:val="1"/>
          <w:u w:val="none"/>
        </w:rPr>
        <w:t>统一回收处置。</w:t>
      </w:r>
    </w:p>
    <w:p w14:paraId="30555D61">
      <w:pPr>
        <w:rPr>
          <w:rFonts w:hint="default" w:ascii="Times New Roman" w:hAnsi="Times New Roman" w:cs="Times New Roman"/>
          <w:color w:val="auto"/>
        </w:rPr>
      </w:pPr>
      <w:r>
        <w:rPr>
          <w:rFonts w:hint="default" w:ascii="Times New Roman" w:hAnsi="Times New Roman" w:cs="Times New Roman"/>
          <w:color w:val="auto"/>
          <w:kern w:val="1"/>
          <w:u w:val="none"/>
          <w:lang w:val="en-US" w:eastAsia="zh-CN"/>
        </w:rPr>
        <w:t>项目</w:t>
      </w:r>
      <w:r>
        <w:rPr>
          <w:rFonts w:hint="default" w:ascii="Times New Roman" w:hAnsi="Times New Roman" w:cs="Times New Roman"/>
          <w:color w:val="auto"/>
          <w:kern w:val="1"/>
          <w:u w:val="none"/>
        </w:rPr>
        <w:t>一般工业固体废物的贮存</w:t>
      </w:r>
      <w:r>
        <w:rPr>
          <w:rFonts w:hint="default" w:ascii="Times New Roman" w:hAnsi="Times New Roman" w:cs="Times New Roman"/>
          <w:color w:val="auto"/>
          <w:kern w:val="1"/>
          <w:u w:val="none"/>
          <w:lang w:val="en-US" w:eastAsia="zh-CN"/>
        </w:rPr>
        <w:t>满足</w:t>
      </w:r>
      <w:r>
        <w:rPr>
          <w:rFonts w:hint="default" w:ascii="Times New Roman" w:hAnsi="Times New Roman" w:cs="Times New Roman"/>
          <w:color w:val="auto"/>
          <w:kern w:val="1"/>
          <w:u w:val="none"/>
        </w:rPr>
        <w:t>《一般工业固</w:t>
      </w:r>
      <w:r>
        <w:rPr>
          <w:rFonts w:hint="default" w:ascii="Times New Roman" w:hAnsi="Times New Roman" w:cs="Times New Roman"/>
          <w:color w:val="auto"/>
          <w:kern w:val="1"/>
          <w:highlight w:val="none"/>
          <w:u w:val="none"/>
        </w:rPr>
        <w:t>体废物贮存和填埋污染控制标准》（GB18599-2020）</w:t>
      </w:r>
      <w:r>
        <w:rPr>
          <w:rFonts w:hint="default" w:ascii="Times New Roman" w:hAnsi="Times New Roman" w:cs="Times New Roman"/>
          <w:color w:val="auto"/>
          <w:kern w:val="1"/>
          <w:highlight w:val="none"/>
          <w:u w:val="none"/>
          <w:lang w:val="en-US" w:eastAsia="zh-CN"/>
        </w:rPr>
        <w:t>要求</w:t>
      </w:r>
      <w:r>
        <w:rPr>
          <w:rFonts w:hint="default" w:ascii="Times New Roman" w:hAnsi="Times New Roman" w:cs="Times New Roman"/>
          <w:color w:val="auto"/>
          <w:kern w:val="1"/>
          <w:highlight w:val="none"/>
          <w:u w:val="none"/>
        </w:rPr>
        <w:t>；危险废物的贮存</w:t>
      </w:r>
      <w:r>
        <w:rPr>
          <w:rFonts w:hint="default" w:ascii="Times New Roman" w:hAnsi="Times New Roman" w:cs="Times New Roman"/>
          <w:color w:val="auto"/>
          <w:kern w:val="1"/>
          <w:highlight w:val="none"/>
          <w:u w:val="none"/>
          <w:lang w:val="en-US" w:eastAsia="zh-CN"/>
        </w:rPr>
        <w:t>满足</w:t>
      </w:r>
      <w:r>
        <w:rPr>
          <w:rFonts w:hint="default" w:ascii="Times New Roman" w:hAnsi="Times New Roman" w:cs="Times New Roman"/>
          <w:color w:val="auto"/>
          <w:kern w:val="1"/>
          <w:highlight w:val="none"/>
          <w:u w:val="none"/>
        </w:rPr>
        <w:t>《危险废物贮存污染控制标准》（GB18597-20</w:t>
      </w:r>
      <w:r>
        <w:rPr>
          <w:rFonts w:hint="default" w:ascii="Times New Roman" w:hAnsi="Times New Roman" w:cs="Times New Roman"/>
          <w:color w:val="auto"/>
          <w:kern w:val="1"/>
          <w:highlight w:val="none"/>
          <w:u w:val="none"/>
          <w:lang w:val="en-US" w:eastAsia="zh-CN"/>
        </w:rPr>
        <w:t>23</w:t>
      </w:r>
      <w:r>
        <w:rPr>
          <w:rFonts w:hint="default" w:ascii="Times New Roman" w:hAnsi="Times New Roman" w:cs="Times New Roman"/>
          <w:color w:val="auto"/>
          <w:kern w:val="1"/>
          <w:highlight w:val="none"/>
          <w:u w:val="none"/>
        </w:rPr>
        <w:t>）</w:t>
      </w:r>
      <w:r>
        <w:rPr>
          <w:rFonts w:hint="default" w:ascii="Times New Roman" w:hAnsi="Times New Roman" w:cs="Times New Roman"/>
          <w:color w:val="auto"/>
          <w:kern w:val="1"/>
          <w:highlight w:val="none"/>
          <w:u w:val="none"/>
          <w:lang w:val="en-US" w:eastAsia="zh-CN"/>
        </w:rPr>
        <w:t>要求</w:t>
      </w:r>
      <w:r>
        <w:rPr>
          <w:rFonts w:hint="default" w:ascii="Times New Roman" w:hAnsi="Times New Roman" w:cs="Times New Roman"/>
          <w:color w:val="auto"/>
          <w:kern w:val="1"/>
          <w:highlight w:val="none"/>
          <w:u w:val="none"/>
        </w:rPr>
        <w:t>；</w:t>
      </w:r>
      <w:r>
        <w:rPr>
          <w:rFonts w:hint="default" w:ascii="Times New Roman" w:hAnsi="Times New Roman" w:cs="Times New Roman"/>
          <w:color w:val="auto"/>
          <w:kern w:val="1"/>
          <w:highlight w:val="none"/>
          <w:u w:val="none"/>
          <w:lang w:val="en-US" w:eastAsia="zh-CN"/>
        </w:rPr>
        <w:t>且根据2024年1月至9月</w:t>
      </w:r>
      <w:r>
        <w:rPr>
          <w:rFonts w:hint="default" w:ascii="Times New Roman" w:hAnsi="Times New Roman" w:cs="Times New Roman"/>
          <w:color w:val="auto"/>
          <w:lang w:val="en-US" w:eastAsia="zh-CN"/>
        </w:rPr>
        <w:t>飞灰固化物检</w:t>
      </w:r>
      <w:r>
        <w:rPr>
          <w:rFonts w:hint="default" w:ascii="Times New Roman" w:hAnsi="Times New Roman" w:cs="Times New Roman"/>
          <w:color w:val="auto"/>
        </w:rPr>
        <w:t>测结果</w:t>
      </w:r>
      <w:r>
        <w:rPr>
          <w:rFonts w:hint="default" w:ascii="Times New Roman" w:hAnsi="Times New Roman" w:cs="Times New Roman"/>
          <w:color w:val="auto"/>
          <w:lang w:val="en-US" w:eastAsia="zh-CN"/>
        </w:rPr>
        <w:t>统计</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详</w:t>
      </w:r>
      <w:r>
        <w:rPr>
          <w:rFonts w:hint="default" w:ascii="Times New Roman" w:hAnsi="Times New Roman" w:cs="Times New Roman"/>
          <w:color w:val="auto"/>
        </w:rPr>
        <w:t>见表9</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5、</w:t>
      </w:r>
      <w:r>
        <w:rPr>
          <w:rFonts w:hint="default" w:ascii="Times New Roman" w:hAnsi="Times New Roman" w:cs="Times New Roman"/>
          <w:color w:val="auto"/>
        </w:rPr>
        <w:t>9</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6</w:t>
      </w:r>
      <w:r>
        <w:rPr>
          <w:rFonts w:hint="default" w:ascii="Times New Roman" w:hAnsi="Times New Roman" w:cs="Times New Roman"/>
          <w:color w:val="auto"/>
          <w:lang w:eastAsia="zh-CN"/>
        </w:rPr>
        <w:t>），</w:t>
      </w:r>
      <w:r>
        <w:rPr>
          <w:rFonts w:hint="default" w:ascii="Times New Roman" w:hAnsi="Times New Roman" w:cs="Times New Roman"/>
          <w:color w:val="auto"/>
          <w:kern w:val="1"/>
          <w:highlight w:val="none"/>
          <w:u w:val="none"/>
        </w:rPr>
        <w:t>经处理后的飞灰满足《生活垃圾填埋场污染控制标准》（</w:t>
      </w:r>
      <w:r>
        <w:rPr>
          <w:rFonts w:hint="default" w:ascii="Times New Roman" w:hAnsi="Times New Roman" w:cs="Times New Roman"/>
          <w:color w:val="auto"/>
          <w:kern w:val="1"/>
          <w:highlight w:val="none"/>
          <w:u w:val="none"/>
          <w:lang w:eastAsia="zh-CN"/>
        </w:rPr>
        <w:t>GB16889-2024</w:t>
      </w:r>
      <w:r>
        <w:rPr>
          <w:rFonts w:hint="default" w:ascii="Times New Roman" w:hAnsi="Times New Roman" w:cs="Times New Roman"/>
          <w:color w:val="auto"/>
          <w:kern w:val="1"/>
          <w:highlight w:val="none"/>
          <w:u w:val="none"/>
        </w:rPr>
        <w:t>）的要求</w:t>
      </w:r>
      <w:r>
        <w:rPr>
          <w:rFonts w:hint="default" w:ascii="Times New Roman" w:hAnsi="Times New Roman" w:cs="Times New Roman"/>
          <w:color w:val="auto"/>
          <w:kern w:val="1"/>
          <w:highlight w:val="none"/>
          <w:u w:val="none"/>
          <w:lang w:eastAsia="zh-CN"/>
        </w:rPr>
        <w:t>；</w:t>
      </w:r>
      <w:r>
        <w:rPr>
          <w:rFonts w:hint="eastAsia" w:cs="Times New Roman"/>
          <w:color w:val="auto"/>
          <w:lang w:val="en-US" w:eastAsia="zh-CN"/>
        </w:rPr>
        <w:t>飞灰处理过程满足</w:t>
      </w:r>
      <w:r>
        <w:rPr>
          <w:rFonts w:hint="default" w:ascii="Times New Roman" w:hAnsi="Times New Roman" w:cs="Times New Roman"/>
          <w:color w:val="auto"/>
        </w:rPr>
        <w:t>《生活垃圾焚烧飞灰固化稳定化处理技术标准》</w:t>
      </w:r>
      <w:r>
        <w:rPr>
          <w:rFonts w:hint="default" w:ascii="Times New Roman" w:hAnsi="Times New Roman" w:cs="Times New Roman"/>
          <w:color w:val="auto"/>
          <w:lang w:eastAsia="zh-CN"/>
        </w:rPr>
        <w:t>（CJJ/T316-2023）</w:t>
      </w:r>
      <w:r>
        <w:rPr>
          <w:rFonts w:hint="eastAsia" w:cs="Times New Roman"/>
          <w:color w:val="auto"/>
          <w:lang w:eastAsia="zh-CN"/>
        </w:rPr>
        <w:t>；</w:t>
      </w:r>
      <w:r>
        <w:rPr>
          <w:rFonts w:hint="default" w:ascii="Times New Roman" w:hAnsi="Times New Roman" w:cs="Times New Roman"/>
          <w:color w:val="auto"/>
          <w:kern w:val="1"/>
          <w:u w:val="none"/>
        </w:rPr>
        <w:t>飞灰固化处理后的产物满足《生活垃圾焚烧飞灰污染控制技术规范(试行)》（HJ1134-2020）中的相关要求</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rPr>
        <w:t>固体废物均可得到合理的处置，不会产生二次污染，现有固体废物处置方案可行。</w:t>
      </w:r>
    </w:p>
    <w:p w14:paraId="17E92966">
      <w:pPr>
        <w:rPr>
          <w:rFonts w:hint="default" w:ascii="Times New Roman" w:hAnsi="Times New Roman" w:cs="Times New Roman"/>
          <w:color w:val="auto"/>
        </w:rPr>
        <w:sectPr>
          <w:headerReference r:id="rId16" w:type="default"/>
          <w:footerReference r:id="rId17" w:type="default"/>
          <w:pgSz w:w="11912" w:h="16841"/>
          <w:pgMar w:top="1701" w:right="1417" w:bottom="1701" w:left="1701" w:header="1078" w:footer="991" w:gutter="0"/>
          <w:pgNumType w:fmt="decimal"/>
          <w:cols w:space="720" w:num="1"/>
        </w:sectPr>
      </w:pPr>
    </w:p>
    <w:p w14:paraId="37282C76">
      <w:pPr>
        <w:pStyle w:val="2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表9.2-5 2024年1~9月飞灰固化物检</w:t>
      </w:r>
      <w:r>
        <w:rPr>
          <w:rFonts w:hint="default" w:ascii="Times New Roman" w:hAnsi="Times New Roman" w:cs="Times New Roman"/>
          <w:color w:val="auto"/>
        </w:rPr>
        <w:t>测结果</w:t>
      </w:r>
      <w:r>
        <w:rPr>
          <w:rFonts w:hint="default" w:ascii="Times New Roman" w:hAnsi="Times New Roman" w:cs="Times New Roman"/>
          <w:color w:val="auto"/>
          <w:lang w:val="en-US" w:eastAsia="zh-CN"/>
        </w:rPr>
        <w:t>统计</w:t>
      </w:r>
    </w:p>
    <w:tbl>
      <w:tblPr>
        <w:tblStyle w:val="14"/>
        <w:tblW w:w="1417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959"/>
        <w:gridCol w:w="959"/>
        <w:gridCol w:w="806"/>
        <w:gridCol w:w="769"/>
        <w:gridCol w:w="805"/>
        <w:gridCol w:w="794"/>
        <w:gridCol w:w="942"/>
        <w:gridCol w:w="905"/>
        <w:gridCol w:w="979"/>
        <w:gridCol w:w="967"/>
        <w:gridCol w:w="1190"/>
        <w:gridCol w:w="1215"/>
        <w:gridCol w:w="1054"/>
        <w:gridCol w:w="992"/>
        <w:gridCol w:w="837"/>
      </w:tblGrid>
      <w:tr w14:paraId="690340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49D7F4B2">
            <w:pPr>
              <w:pStyle w:val="23"/>
              <w:bidi w:val="0"/>
              <w:jc w:val="center"/>
              <w:rPr>
                <w:rFonts w:hint="default" w:ascii="Times New Roman" w:hAnsi="Times New Roman" w:cs="Times New Roman"/>
                <w:color w:val="auto"/>
                <w:lang w:val="en-US"/>
              </w:rPr>
            </w:pPr>
          </w:p>
        </w:tc>
        <w:tc>
          <w:tcPr>
            <w:tcW w:w="959" w:type="dxa"/>
            <w:vMerge w:val="restart"/>
            <w:shd w:val="clear" w:color="auto" w:fill="auto"/>
            <w:vAlign w:val="center"/>
          </w:tcPr>
          <w:p w14:paraId="739753F3">
            <w:pPr>
              <w:pStyle w:val="23"/>
              <w:bidi w:val="0"/>
              <w:jc w:val="center"/>
              <w:rPr>
                <w:rFonts w:hint="default" w:ascii="Times New Roman" w:hAnsi="Times New Roman" w:cs="Times New Roman"/>
                <w:color w:val="auto"/>
                <w:lang w:val="en-US" w:eastAsia="zh-CN"/>
              </w:rPr>
            </w:pPr>
          </w:p>
        </w:tc>
        <w:tc>
          <w:tcPr>
            <w:tcW w:w="12255" w:type="dxa"/>
            <w:gridSpan w:val="13"/>
            <w:shd w:val="clear" w:color="auto" w:fill="auto"/>
            <w:vAlign w:val="center"/>
          </w:tcPr>
          <w:p w14:paraId="181482DD">
            <w:pPr>
              <w:pStyle w:val="23"/>
              <w:bidi w:val="0"/>
              <w:jc w:val="center"/>
              <w:rPr>
                <w:rFonts w:hint="default" w:ascii="Times New Roman" w:hAnsi="Times New Roman" w:cs="Times New Roman"/>
                <w:color w:val="auto"/>
                <w:lang w:val="en-US" w:eastAsia="zh-CN"/>
              </w:rPr>
            </w:pPr>
          </w:p>
        </w:tc>
      </w:tr>
      <w:tr w14:paraId="37EB77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3297593F">
            <w:pPr>
              <w:pStyle w:val="23"/>
              <w:bidi w:val="0"/>
              <w:jc w:val="center"/>
              <w:rPr>
                <w:rFonts w:hint="default" w:ascii="Times New Roman" w:hAnsi="Times New Roman" w:cs="Times New Roman"/>
                <w:color w:val="auto"/>
              </w:rPr>
            </w:pPr>
          </w:p>
        </w:tc>
        <w:tc>
          <w:tcPr>
            <w:tcW w:w="959" w:type="dxa"/>
            <w:vMerge w:val="continue"/>
            <w:shd w:val="clear" w:color="auto" w:fill="auto"/>
            <w:vAlign w:val="center"/>
          </w:tcPr>
          <w:p w14:paraId="0BF38501">
            <w:pPr>
              <w:pStyle w:val="23"/>
              <w:bidi w:val="0"/>
              <w:jc w:val="center"/>
              <w:rPr>
                <w:rFonts w:hint="default" w:ascii="Times New Roman" w:hAnsi="Times New Roman" w:cs="Times New Roman"/>
                <w:color w:val="auto"/>
              </w:rPr>
            </w:pPr>
          </w:p>
        </w:tc>
        <w:tc>
          <w:tcPr>
            <w:tcW w:w="806" w:type="dxa"/>
            <w:shd w:val="clear" w:color="auto" w:fill="auto"/>
            <w:vAlign w:val="center"/>
          </w:tcPr>
          <w:p w14:paraId="0E5D684A">
            <w:pPr>
              <w:pStyle w:val="23"/>
              <w:bidi w:val="0"/>
              <w:jc w:val="center"/>
              <w:rPr>
                <w:rFonts w:hint="default" w:ascii="Times New Roman" w:hAnsi="Times New Roman" w:cs="Times New Roman"/>
                <w:color w:val="auto"/>
              </w:rPr>
            </w:pPr>
          </w:p>
        </w:tc>
        <w:tc>
          <w:tcPr>
            <w:tcW w:w="769" w:type="dxa"/>
            <w:shd w:val="clear" w:color="auto" w:fill="auto"/>
            <w:vAlign w:val="center"/>
          </w:tcPr>
          <w:p w14:paraId="2DC8E560">
            <w:pPr>
              <w:pStyle w:val="23"/>
              <w:bidi w:val="0"/>
              <w:jc w:val="center"/>
              <w:rPr>
                <w:rFonts w:hint="default" w:ascii="Times New Roman" w:hAnsi="Times New Roman" w:cs="Times New Roman"/>
                <w:color w:val="auto"/>
              </w:rPr>
            </w:pPr>
          </w:p>
        </w:tc>
        <w:tc>
          <w:tcPr>
            <w:tcW w:w="805" w:type="dxa"/>
            <w:shd w:val="clear" w:color="auto" w:fill="auto"/>
            <w:vAlign w:val="center"/>
          </w:tcPr>
          <w:p w14:paraId="0E5D8A0C">
            <w:pPr>
              <w:pStyle w:val="23"/>
              <w:bidi w:val="0"/>
              <w:jc w:val="center"/>
              <w:rPr>
                <w:rFonts w:hint="default" w:ascii="Times New Roman" w:hAnsi="Times New Roman" w:cs="Times New Roman"/>
                <w:color w:val="auto"/>
              </w:rPr>
            </w:pPr>
          </w:p>
        </w:tc>
        <w:tc>
          <w:tcPr>
            <w:tcW w:w="794" w:type="dxa"/>
            <w:shd w:val="clear" w:color="auto" w:fill="auto"/>
            <w:vAlign w:val="center"/>
          </w:tcPr>
          <w:p w14:paraId="4258837E">
            <w:pPr>
              <w:pStyle w:val="23"/>
              <w:bidi w:val="0"/>
              <w:jc w:val="center"/>
              <w:rPr>
                <w:rFonts w:hint="default" w:ascii="Times New Roman" w:hAnsi="Times New Roman" w:cs="Times New Roman"/>
                <w:color w:val="auto"/>
              </w:rPr>
            </w:pPr>
          </w:p>
        </w:tc>
        <w:tc>
          <w:tcPr>
            <w:tcW w:w="942" w:type="dxa"/>
            <w:shd w:val="clear" w:color="auto" w:fill="auto"/>
            <w:vAlign w:val="center"/>
          </w:tcPr>
          <w:p w14:paraId="6B175549">
            <w:pPr>
              <w:pStyle w:val="23"/>
              <w:bidi w:val="0"/>
              <w:jc w:val="center"/>
              <w:rPr>
                <w:rFonts w:hint="default" w:ascii="Times New Roman" w:hAnsi="Times New Roman" w:cs="Times New Roman"/>
                <w:color w:val="auto"/>
              </w:rPr>
            </w:pPr>
          </w:p>
        </w:tc>
        <w:tc>
          <w:tcPr>
            <w:tcW w:w="905" w:type="dxa"/>
            <w:shd w:val="clear" w:color="auto" w:fill="auto"/>
            <w:vAlign w:val="center"/>
          </w:tcPr>
          <w:p w14:paraId="20B11EE4">
            <w:pPr>
              <w:pStyle w:val="23"/>
              <w:bidi w:val="0"/>
              <w:jc w:val="center"/>
              <w:rPr>
                <w:rFonts w:hint="default" w:ascii="Times New Roman" w:hAnsi="Times New Roman" w:cs="Times New Roman"/>
                <w:color w:val="auto"/>
              </w:rPr>
            </w:pPr>
          </w:p>
        </w:tc>
        <w:tc>
          <w:tcPr>
            <w:tcW w:w="979" w:type="dxa"/>
            <w:shd w:val="clear" w:color="auto" w:fill="auto"/>
            <w:vAlign w:val="center"/>
          </w:tcPr>
          <w:p w14:paraId="7298D93A">
            <w:pPr>
              <w:pStyle w:val="23"/>
              <w:bidi w:val="0"/>
              <w:jc w:val="center"/>
              <w:rPr>
                <w:rFonts w:hint="default" w:ascii="Times New Roman" w:hAnsi="Times New Roman" w:cs="Times New Roman"/>
                <w:color w:val="auto"/>
              </w:rPr>
            </w:pPr>
          </w:p>
        </w:tc>
        <w:tc>
          <w:tcPr>
            <w:tcW w:w="967" w:type="dxa"/>
            <w:shd w:val="clear" w:color="auto" w:fill="auto"/>
            <w:vAlign w:val="center"/>
          </w:tcPr>
          <w:p w14:paraId="2A43E4CA">
            <w:pPr>
              <w:pStyle w:val="23"/>
              <w:bidi w:val="0"/>
              <w:jc w:val="center"/>
              <w:rPr>
                <w:rFonts w:hint="default" w:ascii="Times New Roman" w:hAnsi="Times New Roman" w:cs="Times New Roman"/>
                <w:color w:val="auto"/>
              </w:rPr>
            </w:pPr>
          </w:p>
        </w:tc>
        <w:tc>
          <w:tcPr>
            <w:tcW w:w="1190" w:type="dxa"/>
            <w:shd w:val="clear" w:color="auto" w:fill="auto"/>
            <w:vAlign w:val="center"/>
          </w:tcPr>
          <w:p w14:paraId="54307834">
            <w:pPr>
              <w:pStyle w:val="23"/>
              <w:bidi w:val="0"/>
              <w:jc w:val="center"/>
              <w:rPr>
                <w:rFonts w:hint="default" w:ascii="Times New Roman" w:hAnsi="Times New Roman" w:cs="Times New Roman"/>
                <w:color w:val="auto"/>
              </w:rPr>
            </w:pPr>
          </w:p>
        </w:tc>
        <w:tc>
          <w:tcPr>
            <w:tcW w:w="1215" w:type="dxa"/>
            <w:shd w:val="clear" w:color="auto" w:fill="auto"/>
            <w:vAlign w:val="center"/>
          </w:tcPr>
          <w:p w14:paraId="07800AFF">
            <w:pPr>
              <w:pStyle w:val="23"/>
              <w:bidi w:val="0"/>
              <w:jc w:val="center"/>
              <w:rPr>
                <w:rFonts w:hint="default" w:ascii="Times New Roman" w:hAnsi="Times New Roman" w:cs="Times New Roman"/>
                <w:color w:val="auto"/>
              </w:rPr>
            </w:pPr>
          </w:p>
        </w:tc>
        <w:tc>
          <w:tcPr>
            <w:tcW w:w="1054" w:type="dxa"/>
            <w:shd w:val="clear" w:color="auto" w:fill="auto"/>
            <w:vAlign w:val="center"/>
          </w:tcPr>
          <w:p w14:paraId="218FFC17">
            <w:pPr>
              <w:pStyle w:val="23"/>
              <w:bidi w:val="0"/>
              <w:jc w:val="center"/>
              <w:rPr>
                <w:rFonts w:hint="default" w:ascii="Times New Roman" w:hAnsi="Times New Roman" w:cs="Times New Roman"/>
                <w:color w:val="auto"/>
              </w:rPr>
            </w:pPr>
          </w:p>
        </w:tc>
        <w:tc>
          <w:tcPr>
            <w:tcW w:w="992" w:type="dxa"/>
            <w:shd w:val="clear" w:color="auto" w:fill="auto"/>
            <w:vAlign w:val="center"/>
          </w:tcPr>
          <w:p w14:paraId="77738744">
            <w:pPr>
              <w:pStyle w:val="23"/>
              <w:bidi w:val="0"/>
              <w:jc w:val="center"/>
              <w:rPr>
                <w:rFonts w:hint="default" w:ascii="Times New Roman" w:hAnsi="Times New Roman" w:cs="Times New Roman"/>
                <w:color w:val="auto"/>
              </w:rPr>
            </w:pPr>
          </w:p>
        </w:tc>
        <w:tc>
          <w:tcPr>
            <w:tcW w:w="837" w:type="dxa"/>
            <w:shd w:val="clear" w:color="auto" w:fill="auto"/>
            <w:vAlign w:val="center"/>
          </w:tcPr>
          <w:p w14:paraId="310B1853">
            <w:pPr>
              <w:pStyle w:val="23"/>
              <w:bidi w:val="0"/>
              <w:jc w:val="center"/>
              <w:rPr>
                <w:rFonts w:hint="default" w:ascii="Times New Roman" w:hAnsi="Times New Roman" w:cs="Times New Roman"/>
                <w:color w:val="auto"/>
                <w:lang w:val="en-US" w:eastAsia="zh-CN"/>
              </w:rPr>
            </w:pPr>
          </w:p>
        </w:tc>
      </w:tr>
      <w:tr w14:paraId="6B33BD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1353D2B5">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3A329290">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05545ED0">
            <w:pPr>
              <w:pStyle w:val="23"/>
              <w:bidi w:val="0"/>
              <w:jc w:val="center"/>
              <w:rPr>
                <w:rFonts w:hint="default" w:ascii="Times New Roman" w:hAnsi="Times New Roman" w:cs="Times New Roman"/>
                <w:color w:val="auto"/>
              </w:rPr>
            </w:pPr>
          </w:p>
        </w:tc>
        <w:tc>
          <w:tcPr>
            <w:tcW w:w="769" w:type="dxa"/>
            <w:shd w:val="clear" w:color="auto" w:fill="auto"/>
            <w:vAlign w:val="center"/>
          </w:tcPr>
          <w:p w14:paraId="49996F49">
            <w:pPr>
              <w:pStyle w:val="23"/>
              <w:bidi w:val="0"/>
              <w:jc w:val="center"/>
              <w:rPr>
                <w:rFonts w:hint="default" w:ascii="Times New Roman" w:hAnsi="Times New Roman" w:cs="Times New Roman"/>
                <w:color w:val="auto"/>
              </w:rPr>
            </w:pPr>
          </w:p>
        </w:tc>
        <w:tc>
          <w:tcPr>
            <w:tcW w:w="805" w:type="dxa"/>
            <w:shd w:val="clear" w:color="auto" w:fill="auto"/>
            <w:vAlign w:val="center"/>
          </w:tcPr>
          <w:p w14:paraId="378903A4">
            <w:pPr>
              <w:pStyle w:val="23"/>
              <w:bidi w:val="0"/>
              <w:jc w:val="center"/>
              <w:rPr>
                <w:rFonts w:hint="default" w:ascii="Times New Roman" w:hAnsi="Times New Roman" w:cs="Times New Roman"/>
                <w:color w:val="auto"/>
              </w:rPr>
            </w:pPr>
          </w:p>
        </w:tc>
        <w:tc>
          <w:tcPr>
            <w:tcW w:w="794" w:type="dxa"/>
            <w:shd w:val="clear" w:color="auto" w:fill="auto"/>
            <w:vAlign w:val="center"/>
          </w:tcPr>
          <w:p w14:paraId="6FD0833B">
            <w:pPr>
              <w:pStyle w:val="23"/>
              <w:bidi w:val="0"/>
              <w:jc w:val="center"/>
              <w:rPr>
                <w:rFonts w:hint="default" w:ascii="Times New Roman" w:hAnsi="Times New Roman" w:cs="Times New Roman"/>
                <w:color w:val="auto"/>
              </w:rPr>
            </w:pPr>
          </w:p>
        </w:tc>
        <w:tc>
          <w:tcPr>
            <w:tcW w:w="942" w:type="dxa"/>
            <w:shd w:val="clear" w:color="auto" w:fill="auto"/>
            <w:vAlign w:val="center"/>
          </w:tcPr>
          <w:p w14:paraId="783734C4">
            <w:pPr>
              <w:pStyle w:val="23"/>
              <w:bidi w:val="0"/>
              <w:jc w:val="center"/>
              <w:rPr>
                <w:rFonts w:hint="default" w:ascii="Times New Roman" w:hAnsi="Times New Roman" w:cs="Times New Roman"/>
                <w:color w:val="auto"/>
              </w:rPr>
            </w:pPr>
          </w:p>
        </w:tc>
        <w:tc>
          <w:tcPr>
            <w:tcW w:w="905" w:type="dxa"/>
            <w:shd w:val="clear" w:color="auto" w:fill="auto"/>
            <w:vAlign w:val="center"/>
          </w:tcPr>
          <w:p w14:paraId="0B25D2CD">
            <w:pPr>
              <w:pStyle w:val="23"/>
              <w:bidi w:val="0"/>
              <w:jc w:val="center"/>
              <w:rPr>
                <w:rFonts w:hint="default" w:ascii="Times New Roman" w:hAnsi="Times New Roman" w:cs="Times New Roman"/>
                <w:color w:val="auto"/>
              </w:rPr>
            </w:pPr>
          </w:p>
        </w:tc>
        <w:tc>
          <w:tcPr>
            <w:tcW w:w="979" w:type="dxa"/>
            <w:shd w:val="clear" w:color="auto" w:fill="auto"/>
            <w:vAlign w:val="center"/>
          </w:tcPr>
          <w:p w14:paraId="7FFE7F3F">
            <w:pPr>
              <w:pStyle w:val="23"/>
              <w:bidi w:val="0"/>
              <w:jc w:val="center"/>
              <w:rPr>
                <w:rFonts w:hint="default" w:ascii="Times New Roman" w:hAnsi="Times New Roman" w:cs="Times New Roman"/>
                <w:color w:val="auto"/>
              </w:rPr>
            </w:pPr>
          </w:p>
        </w:tc>
        <w:tc>
          <w:tcPr>
            <w:tcW w:w="967" w:type="dxa"/>
            <w:shd w:val="clear" w:color="auto" w:fill="auto"/>
            <w:vAlign w:val="center"/>
          </w:tcPr>
          <w:p w14:paraId="22C8F538">
            <w:pPr>
              <w:pStyle w:val="23"/>
              <w:bidi w:val="0"/>
              <w:jc w:val="center"/>
              <w:rPr>
                <w:rFonts w:hint="default" w:ascii="Times New Roman" w:hAnsi="Times New Roman" w:cs="Times New Roman"/>
                <w:color w:val="auto"/>
              </w:rPr>
            </w:pPr>
          </w:p>
        </w:tc>
        <w:tc>
          <w:tcPr>
            <w:tcW w:w="1190" w:type="dxa"/>
            <w:shd w:val="clear" w:color="auto" w:fill="auto"/>
            <w:vAlign w:val="center"/>
          </w:tcPr>
          <w:p w14:paraId="2441616A">
            <w:pPr>
              <w:pStyle w:val="23"/>
              <w:bidi w:val="0"/>
              <w:jc w:val="center"/>
              <w:rPr>
                <w:rFonts w:hint="default" w:ascii="Times New Roman" w:hAnsi="Times New Roman" w:cs="Times New Roman"/>
                <w:color w:val="auto"/>
              </w:rPr>
            </w:pPr>
          </w:p>
        </w:tc>
        <w:tc>
          <w:tcPr>
            <w:tcW w:w="1215" w:type="dxa"/>
            <w:shd w:val="clear" w:color="auto" w:fill="auto"/>
            <w:vAlign w:val="center"/>
          </w:tcPr>
          <w:p w14:paraId="22600F98">
            <w:pPr>
              <w:pStyle w:val="23"/>
              <w:bidi w:val="0"/>
              <w:jc w:val="center"/>
              <w:rPr>
                <w:rFonts w:hint="default" w:ascii="Times New Roman" w:hAnsi="Times New Roman" w:cs="Times New Roman"/>
                <w:color w:val="auto"/>
              </w:rPr>
            </w:pPr>
          </w:p>
        </w:tc>
        <w:tc>
          <w:tcPr>
            <w:tcW w:w="1054" w:type="dxa"/>
            <w:shd w:val="clear" w:color="auto" w:fill="auto"/>
            <w:vAlign w:val="center"/>
          </w:tcPr>
          <w:p w14:paraId="6A545EBC">
            <w:pPr>
              <w:pStyle w:val="23"/>
              <w:bidi w:val="0"/>
              <w:jc w:val="center"/>
              <w:rPr>
                <w:rFonts w:hint="default" w:ascii="Times New Roman" w:hAnsi="Times New Roman" w:cs="Times New Roman"/>
                <w:color w:val="auto"/>
              </w:rPr>
            </w:pPr>
          </w:p>
        </w:tc>
        <w:tc>
          <w:tcPr>
            <w:tcW w:w="992" w:type="dxa"/>
            <w:shd w:val="clear" w:color="auto" w:fill="auto"/>
            <w:vAlign w:val="center"/>
          </w:tcPr>
          <w:p w14:paraId="4BE206DA">
            <w:pPr>
              <w:pStyle w:val="23"/>
              <w:bidi w:val="0"/>
              <w:jc w:val="center"/>
              <w:rPr>
                <w:rFonts w:hint="default" w:ascii="Times New Roman" w:hAnsi="Times New Roman" w:cs="Times New Roman"/>
                <w:color w:val="auto"/>
              </w:rPr>
            </w:pPr>
          </w:p>
        </w:tc>
        <w:tc>
          <w:tcPr>
            <w:tcW w:w="837" w:type="dxa"/>
            <w:shd w:val="clear" w:color="auto" w:fill="auto"/>
            <w:vAlign w:val="center"/>
          </w:tcPr>
          <w:p w14:paraId="7DBA14BF">
            <w:pPr>
              <w:pStyle w:val="23"/>
              <w:bidi w:val="0"/>
              <w:jc w:val="center"/>
              <w:rPr>
                <w:rFonts w:hint="default" w:ascii="Times New Roman" w:hAnsi="Times New Roman" w:cs="Times New Roman"/>
                <w:color w:val="auto"/>
                <w:lang w:val="en-US" w:eastAsia="zh-CN"/>
              </w:rPr>
            </w:pPr>
          </w:p>
        </w:tc>
      </w:tr>
      <w:tr w14:paraId="6AC6A0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54A9FF10">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5ED48B0D">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4DA4D7F2">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782F6447">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4BF96299">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6EEFC3BD">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6C58FF82">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4DF01E50">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6785AC63">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63C1ADEC">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68791A73">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2FB1E51">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5644EE8B">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51A43F77">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42FA7FC5">
            <w:pPr>
              <w:pStyle w:val="23"/>
              <w:bidi w:val="0"/>
              <w:jc w:val="center"/>
              <w:rPr>
                <w:rFonts w:hint="default" w:ascii="Times New Roman" w:hAnsi="Times New Roman" w:cs="Times New Roman"/>
                <w:color w:val="auto"/>
                <w:lang w:val="en-US" w:eastAsia="zh-CN"/>
              </w:rPr>
            </w:pPr>
          </w:p>
        </w:tc>
      </w:tr>
      <w:tr w14:paraId="63514D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2B042747">
            <w:pPr>
              <w:pStyle w:val="23"/>
              <w:bidi w:val="0"/>
              <w:jc w:val="center"/>
              <w:rPr>
                <w:rFonts w:hint="default" w:ascii="Times New Roman" w:hAnsi="Times New Roman" w:cs="Times New Roman"/>
                <w:color w:val="auto"/>
              </w:rPr>
            </w:pPr>
          </w:p>
        </w:tc>
        <w:tc>
          <w:tcPr>
            <w:tcW w:w="959" w:type="dxa"/>
            <w:shd w:val="clear" w:color="auto" w:fill="auto"/>
            <w:vAlign w:val="center"/>
          </w:tcPr>
          <w:p w14:paraId="0C2AACD6">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25D18654">
            <w:pPr>
              <w:pStyle w:val="23"/>
              <w:bidi w:val="0"/>
              <w:jc w:val="center"/>
              <w:rPr>
                <w:rFonts w:hint="default" w:ascii="Times New Roman" w:hAnsi="Times New Roman" w:cs="Times New Roman"/>
                <w:color w:val="auto"/>
              </w:rPr>
            </w:pPr>
          </w:p>
        </w:tc>
        <w:tc>
          <w:tcPr>
            <w:tcW w:w="769" w:type="dxa"/>
            <w:shd w:val="clear" w:color="auto" w:fill="auto"/>
            <w:vAlign w:val="center"/>
          </w:tcPr>
          <w:p w14:paraId="64E7019F">
            <w:pPr>
              <w:pStyle w:val="23"/>
              <w:bidi w:val="0"/>
              <w:jc w:val="center"/>
              <w:rPr>
                <w:rFonts w:hint="default" w:ascii="Times New Roman" w:hAnsi="Times New Roman" w:cs="Times New Roman"/>
                <w:color w:val="auto"/>
              </w:rPr>
            </w:pPr>
          </w:p>
        </w:tc>
        <w:tc>
          <w:tcPr>
            <w:tcW w:w="805" w:type="dxa"/>
            <w:shd w:val="clear" w:color="auto" w:fill="auto"/>
            <w:vAlign w:val="center"/>
          </w:tcPr>
          <w:p w14:paraId="213B8E8F">
            <w:pPr>
              <w:pStyle w:val="23"/>
              <w:bidi w:val="0"/>
              <w:jc w:val="center"/>
              <w:rPr>
                <w:rFonts w:hint="default" w:ascii="Times New Roman" w:hAnsi="Times New Roman" w:cs="Times New Roman"/>
                <w:color w:val="auto"/>
              </w:rPr>
            </w:pPr>
          </w:p>
        </w:tc>
        <w:tc>
          <w:tcPr>
            <w:tcW w:w="794" w:type="dxa"/>
            <w:shd w:val="clear" w:color="auto" w:fill="auto"/>
            <w:vAlign w:val="center"/>
          </w:tcPr>
          <w:p w14:paraId="6FB149D6">
            <w:pPr>
              <w:pStyle w:val="23"/>
              <w:bidi w:val="0"/>
              <w:jc w:val="center"/>
              <w:rPr>
                <w:rFonts w:hint="default" w:ascii="Times New Roman" w:hAnsi="Times New Roman" w:cs="Times New Roman"/>
                <w:color w:val="auto"/>
              </w:rPr>
            </w:pPr>
          </w:p>
        </w:tc>
        <w:tc>
          <w:tcPr>
            <w:tcW w:w="942" w:type="dxa"/>
            <w:shd w:val="clear" w:color="auto" w:fill="auto"/>
            <w:vAlign w:val="center"/>
          </w:tcPr>
          <w:p w14:paraId="7205DF5A">
            <w:pPr>
              <w:pStyle w:val="23"/>
              <w:bidi w:val="0"/>
              <w:jc w:val="center"/>
              <w:rPr>
                <w:rFonts w:hint="default" w:ascii="Times New Roman" w:hAnsi="Times New Roman" w:cs="Times New Roman"/>
                <w:color w:val="auto"/>
              </w:rPr>
            </w:pPr>
          </w:p>
        </w:tc>
        <w:tc>
          <w:tcPr>
            <w:tcW w:w="905" w:type="dxa"/>
            <w:shd w:val="clear" w:color="auto" w:fill="auto"/>
            <w:vAlign w:val="center"/>
          </w:tcPr>
          <w:p w14:paraId="424313B2">
            <w:pPr>
              <w:pStyle w:val="23"/>
              <w:bidi w:val="0"/>
              <w:jc w:val="center"/>
              <w:rPr>
                <w:rFonts w:hint="default" w:ascii="Times New Roman" w:hAnsi="Times New Roman" w:cs="Times New Roman"/>
                <w:color w:val="auto"/>
              </w:rPr>
            </w:pPr>
          </w:p>
        </w:tc>
        <w:tc>
          <w:tcPr>
            <w:tcW w:w="979" w:type="dxa"/>
            <w:shd w:val="clear" w:color="auto" w:fill="auto"/>
            <w:vAlign w:val="center"/>
          </w:tcPr>
          <w:p w14:paraId="575BC6C9">
            <w:pPr>
              <w:pStyle w:val="23"/>
              <w:bidi w:val="0"/>
              <w:jc w:val="center"/>
              <w:rPr>
                <w:rFonts w:hint="default" w:ascii="Times New Roman" w:hAnsi="Times New Roman" w:cs="Times New Roman"/>
                <w:color w:val="auto"/>
              </w:rPr>
            </w:pPr>
          </w:p>
        </w:tc>
        <w:tc>
          <w:tcPr>
            <w:tcW w:w="967" w:type="dxa"/>
            <w:shd w:val="clear" w:color="auto" w:fill="auto"/>
            <w:vAlign w:val="center"/>
          </w:tcPr>
          <w:p w14:paraId="594EA602">
            <w:pPr>
              <w:pStyle w:val="23"/>
              <w:bidi w:val="0"/>
              <w:jc w:val="center"/>
              <w:rPr>
                <w:rFonts w:hint="default" w:ascii="Times New Roman" w:hAnsi="Times New Roman" w:cs="Times New Roman"/>
                <w:color w:val="auto"/>
              </w:rPr>
            </w:pPr>
          </w:p>
        </w:tc>
        <w:tc>
          <w:tcPr>
            <w:tcW w:w="1190" w:type="dxa"/>
            <w:shd w:val="clear" w:color="auto" w:fill="auto"/>
            <w:vAlign w:val="center"/>
          </w:tcPr>
          <w:p w14:paraId="069DCF1D">
            <w:pPr>
              <w:pStyle w:val="23"/>
              <w:bidi w:val="0"/>
              <w:jc w:val="center"/>
              <w:rPr>
                <w:rFonts w:hint="default" w:ascii="Times New Roman" w:hAnsi="Times New Roman" w:cs="Times New Roman"/>
                <w:color w:val="auto"/>
              </w:rPr>
            </w:pPr>
          </w:p>
        </w:tc>
        <w:tc>
          <w:tcPr>
            <w:tcW w:w="1215" w:type="dxa"/>
            <w:shd w:val="clear" w:color="auto" w:fill="auto"/>
            <w:vAlign w:val="center"/>
          </w:tcPr>
          <w:p w14:paraId="3171993C">
            <w:pPr>
              <w:pStyle w:val="23"/>
              <w:bidi w:val="0"/>
              <w:jc w:val="center"/>
              <w:rPr>
                <w:rFonts w:hint="default" w:ascii="Times New Roman" w:hAnsi="Times New Roman" w:cs="Times New Roman"/>
                <w:color w:val="auto"/>
              </w:rPr>
            </w:pPr>
          </w:p>
        </w:tc>
        <w:tc>
          <w:tcPr>
            <w:tcW w:w="1054" w:type="dxa"/>
            <w:shd w:val="clear" w:color="auto" w:fill="auto"/>
            <w:vAlign w:val="center"/>
          </w:tcPr>
          <w:p w14:paraId="2F692529">
            <w:pPr>
              <w:pStyle w:val="23"/>
              <w:bidi w:val="0"/>
              <w:jc w:val="center"/>
              <w:rPr>
                <w:rFonts w:hint="default" w:ascii="Times New Roman" w:hAnsi="Times New Roman" w:cs="Times New Roman"/>
                <w:color w:val="auto"/>
              </w:rPr>
            </w:pPr>
          </w:p>
        </w:tc>
        <w:tc>
          <w:tcPr>
            <w:tcW w:w="992" w:type="dxa"/>
            <w:shd w:val="clear" w:color="auto" w:fill="auto"/>
            <w:vAlign w:val="center"/>
          </w:tcPr>
          <w:p w14:paraId="0A5E6A19">
            <w:pPr>
              <w:pStyle w:val="23"/>
              <w:bidi w:val="0"/>
              <w:jc w:val="center"/>
              <w:rPr>
                <w:rFonts w:hint="default" w:ascii="Times New Roman" w:hAnsi="Times New Roman" w:cs="Times New Roman"/>
                <w:color w:val="auto"/>
              </w:rPr>
            </w:pPr>
          </w:p>
        </w:tc>
        <w:tc>
          <w:tcPr>
            <w:tcW w:w="837" w:type="dxa"/>
            <w:shd w:val="clear" w:color="auto" w:fill="auto"/>
            <w:vAlign w:val="center"/>
          </w:tcPr>
          <w:p w14:paraId="6492B26B">
            <w:pPr>
              <w:pStyle w:val="23"/>
              <w:bidi w:val="0"/>
              <w:jc w:val="center"/>
              <w:rPr>
                <w:rFonts w:hint="default" w:ascii="Times New Roman" w:hAnsi="Times New Roman" w:cs="Times New Roman"/>
                <w:color w:val="auto"/>
                <w:lang w:val="en-US" w:eastAsia="zh-CN"/>
              </w:rPr>
            </w:pPr>
          </w:p>
        </w:tc>
      </w:tr>
      <w:tr w14:paraId="57BDCA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48205248">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72F42735">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705E2820">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3068DE7A">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5001A97B">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2002DAC0">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59551A8F">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53CF699D">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5A47CC36">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6610C5FB">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1A0551D2">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7F449AB5">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5D9B94D8">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2189124E">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3E410D98">
            <w:pPr>
              <w:pStyle w:val="23"/>
              <w:bidi w:val="0"/>
              <w:jc w:val="center"/>
              <w:rPr>
                <w:rFonts w:hint="default" w:ascii="Times New Roman" w:hAnsi="Times New Roman" w:cs="Times New Roman"/>
                <w:color w:val="auto"/>
                <w:lang w:val="en-US" w:eastAsia="zh-CN"/>
              </w:rPr>
            </w:pPr>
          </w:p>
        </w:tc>
      </w:tr>
      <w:tr w14:paraId="552723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36344FD1">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2FBA26E6">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3B8A1570">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3E184A84">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089457E0">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0C75B067">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0B3EB69D">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1D0D8923">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30EC6475">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0374F5D9">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15E552B8">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1AAB60C9">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4E33D9EF">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5DAF7B4F">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789CF6A0">
            <w:pPr>
              <w:pStyle w:val="23"/>
              <w:bidi w:val="0"/>
              <w:jc w:val="center"/>
              <w:rPr>
                <w:rFonts w:hint="default" w:ascii="Times New Roman" w:hAnsi="Times New Roman" w:cs="Times New Roman"/>
                <w:color w:val="auto"/>
                <w:lang w:val="en-US" w:eastAsia="zh-CN"/>
              </w:rPr>
            </w:pPr>
          </w:p>
        </w:tc>
      </w:tr>
      <w:tr w14:paraId="365150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298939CC">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39B41344">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27819BE0">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3566FC71">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7827EDB9">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58A3F0C0">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0393411B">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3B437A5F">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43106242">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1861DEF9">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4BD4A02F">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0CF0EEA4">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3F1A3B1C">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3046040C">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2B1BCA14">
            <w:pPr>
              <w:pStyle w:val="23"/>
              <w:bidi w:val="0"/>
              <w:jc w:val="center"/>
              <w:rPr>
                <w:rFonts w:hint="default" w:ascii="Times New Roman" w:hAnsi="Times New Roman" w:cs="Times New Roman"/>
                <w:color w:val="auto"/>
                <w:lang w:val="en-US" w:eastAsia="zh-CN"/>
              </w:rPr>
            </w:pPr>
          </w:p>
        </w:tc>
      </w:tr>
      <w:tr w14:paraId="631A90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4481829B">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3A6BA8E8">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70B3EB38">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03038552">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2306A492">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671D735A">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425F124A">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42C271DD">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14EE1433">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2CF66E73">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42ADD51F">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177C1F5B">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7865E06B">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2B69687F">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2830B80A">
            <w:pPr>
              <w:pStyle w:val="23"/>
              <w:bidi w:val="0"/>
              <w:jc w:val="center"/>
              <w:rPr>
                <w:rFonts w:hint="default" w:ascii="Times New Roman" w:hAnsi="Times New Roman" w:cs="Times New Roman"/>
                <w:color w:val="auto"/>
                <w:lang w:val="en-US" w:eastAsia="zh-CN"/>
              </w:rPr>
            </w:pPr>
          </w:p>
        </w:tc>
      </w:tr>
      <w:tr w14:paraId="548757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11BD6FAD">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5EEECF08">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381983D3">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486E0845">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20948936">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6AE91869">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29EC939A">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7E8841FA">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1B3B2B4B">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4CBF0CF8">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311FAEE0">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7D718132">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32435C32">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203686C9">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1C7F729E">
            <w:pPr>
              <w:pStyle w:val="23"/>
              <w:bidi w:val="0"/>
              <w:jc w:val="center"/>
              <w:rPr>
                <w:rFonts w:hint="default" w:ascii="Times New Roman" w:hAnsi="Times New Roman" w:cs="Times New Roman"/>
                <w:color w:val="auto"/>
                <w:lang w:val="en-US" w:eastAsia="zh-CN"/>
              </w:rPr>
            </w:pPr>
          </w:p>
        </w:tc>
      </w:tr>
      <w:tr w14:paraId="28AF50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59" w:type="dxa"/>
            <w:vMerge w:val="restart"/>
            <w:shd w:val="clear" w:color="auto" w:fill="auto"/>
            <w:vAlign w:val="center"/>
          </w:tcPr>
          <w:p w14:paraId="3BCE5D8B">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76B11EB0">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0EDFD81F">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76C0FDF8">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6C692F64">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76059232">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00B145A2">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5D5A420C">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47071BF9">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0B334C62">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305502AE">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15E73914">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D28A386">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46DD57DD">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6C7FA1DC">
            <w:pPr>
              <w:pStyle w:val="23"/>
              <w:bidi w:val="0"/>
              <w:jc w:val="center"/>
              <w:rPr>
                <w:rFonts w:hint="default" w:ascii="Times New Roman" w:hAnsi="Times New Roman" w:cs="Times New Roman"/>
                <w:color w:val="auto"/>
                <w:lang w:val="en-US" w:eastAsia="zh-CN"/>
              </w:rPr>
            </w:pPr>
          </w:p>
        </w:tc>
      </w:tr>
      <w:tr w14:paraId="60CB4A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90" w:hRule="atLeast"/>
          <w:jc w:val="center"/>
        </w:trPr>
        <w:tc>
          <w:tcPr>
            <w:tcW w:w="959" w:type="dxa"/>
            <w:vMerge w:val="continue"/>
            <w:shd w:val="clear" w:color="auto" w:fill="auto"/>
            <w:vAlign w:val="center"/>
          </w:tcPr>
          <w:p w14:paraId="413E1F7A">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4F89C096">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21395043">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6C4B9FEB">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5B4E7C67">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1D213C61">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5CF86009">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156E20FE">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1E11F896">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6EFA2E00">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4299236C">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BB5D479">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4FEDD657">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33373D56">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42E3416A">
            <w:pPr>
              <w:pStyle w:val="23"/>
              <w:bidi w:val="0"/>
              <w:jc w:val="center"/>
              <w:rPr>
                <w:rFonts w:hint="default" w:ascii="Times New Roman" w:hAnsi="Times New Roman" w:cs="Times New Roman"/>
                <w:color w:val="auto"/>
                <w:lang w:val="en-US" w:eastAsia="zh-CN"/>
              </w:rPr>
            </w:pPr>
          </w:p>
        </w:tc>
      </w:tr>
      <w:tr w14:paraId="6456DE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75FE78E8">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642BEAAC">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679F5DB5">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7F50544A">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61DC0291">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05DDCA6F">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1A16226F">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7BBD15EB">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0BEA9F0B">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684751C3">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294AB572">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79EFE5E4">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D1EA097">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169FE48B">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7CCE5F4D">
            <w:pPr>
              <w:pStyle w:val="23"/>
              <w:bidi w:val="0"/>
              <w:jc w:val="center"/>
              <w:rPr>
                <w:rFonts w:hint="default" w:ascii="Times New Roman" w:hAnsi="Times New Roman" w:cs="Times New Roman"/>
                <w:color w:val="auto"/>
                <w:lang w:val="en-US" w:eastAsia="zh-CN"/>
              </w:rPr>
            </w:pPr>
          </w:p>
        </w:tc>
      </w:tr>
      <w:tr w14:paraId="3F0CC9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44873CF1">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3B2A1E40">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1C724100">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18B05D06">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7E4FA097">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0D96A07E">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325FE6CF">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27D50A3D">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0CCE14A5">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4D09E865">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529E8C13">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23131B68">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39FA0DC6">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0846294D">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53C565E2">
            <w:pPr>
              <w:pStyle w:val="23"/>
              <w:bidi w:val="0"/>
              <w:jc w:val="center"/>
              <w:rPr>
                <w:rFonts w:hint="default" w:ascii="Times New Roman" w:hAnsi="Times New Roman" w:cs="Times New Roman"/>
                <w:color w:val="auto"/>
                <w:lang w:val="en-US" w:eastAsia="zh-CN"/>
              </w:rPr>
            </w:pPr>
          </w:p>
        </w:tc>
      </w:tr>
      <w:tr w14:paraId="386D55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607ADE6F">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2E41B1EC">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0A090E94">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08E25B3C">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1DACFBFA">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6AB00E4E">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74C66023">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784D3E05">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69098E58">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3D2AE6C4">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35195B04">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5B1E59EB">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6877BD19">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424A96EF">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5F8AD65A">
            <w:pPr>
              <w:pStyle w:val="23"/>
              <w:bidi w:val="0"/>
              <w:jc w:val="center"/>
              <w:rPr>
                <w:rFonts w:hint="default" w:ascii="Times New Roman" w:hAnsi="Times New Roman" w:cs="Times New Roman"/>
                <w:color w:val="auto"/>
                <w:lang w:val="en-US" w:eastAsia="zh-CN"/>
              </w:rPr>
            </w:pPr>
          </w:p>
        </w:tc>
      </w:tr>
      <w:tr w14:paraId="24BB3D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760D5508">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34F567DC">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07E623FF">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3E5AB988">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2D78D989">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548B1BA8">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6704659E">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3CAD5859">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1426F3D4">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1EA2EA3E">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00BAD322">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4ECD1B52">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5B3DB213">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07528554">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412D5F21">
            <w:pPr>
              <w:pStyle w:val="23"/>
              <w:bidi w:val="0"/>
              <w:jc w:val="center"/>
              <w:rPr>
                <w:rFonts w:hint="default" w:ascii="Times New Roman" w:hAnsi="Times New Roman" w:cs="Times New Roman"/>
                <w:color w:val="auto"/>
                <w:lang w:val="en-US" w:eastAsia="zh-CN"/>
              </w:rPr>
            </w:pPr>
          </w:p>
        </w:tc>
      </w:tr>
      <w:tr w14:paraId="5871B5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0B80BFA7">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5AED6134">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20A20173">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378F2B86">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7BF7305B">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3516F6BB">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1EFEF300">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6A8577F7">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2751C6E0">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1E6AAF77">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239B066B">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10B8BAE5">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3FF01007">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052BFD6A">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74ED504A">
            <w:pPr>
              <w:pStyle w:val="23"/>
              <w:bidi w:val="0"/>
              <w:jc w:val="center"/>
              <w:rPr>
                <w:rFonts w:hint="default" w:ascii="Times New Roman" w:hAnsi="Times New Roman" w:cs="Times New Roman"/>
                <w:color w:val="auto"/>
                <w:lang w:val="en-US" w:eastAsia="zh-CN"/>
              </w:rPr>
            </w:pPr>
          </w:p>
        </w:tc>
      </w:tr>
      <w:tr w14:paraId="612FBC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27EF1653">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754DB5D2">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159BEA63">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7E3C78BE">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0869EF36">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1AAA5C41">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03032579">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1184F577">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2178A1E8">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3BD90874">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1D336A03">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72269A86">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55C301BD">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30EDCDDC">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0F3FF4E1">
            <w:pPr>
              <w:pStyle w:val="23"/>
              <w:bidi w:val="0"/>
              <w:jc w:val="center"/>
              <w:rPr>
                <w:rFonts w:hint="default" w:ascii="Times New Roman" w:hAnsi="Times New Roman" w:cs="Times New Roman"/>
                <w:color w:val="auto"/>
                <w:lang w:val="en-US" w:eastAsia="zh-CN"/>
              </w:rPr>
            </w:pPr>
          </w:p>
        </w:tc>
      </w:tr>
      <w:tr w14:paraId="0E66A8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726702C0">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26E8D376">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4B3FE4D6">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330E7771">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0E084D6F">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62F0DE2D">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3F2A03CC">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6C88C4B6">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0354F6B9">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30483F92">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4461C292">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50B0C5B5">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B5D6BD6">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0EDDA480">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21F3FB84">
            <w:pPr>
              <w:pStyle w:val="23"/>
              <w:bidi w:val="0"/>
              <w:jc w:val="center"/>
              <w:rPr>
                <w:rFonts w:hint="default" w:ascii="Times New Roman" w:hAnsi="Times New Roman" w:cs="Times New Roman"/>
                <w:color w:val="auto"/>
                <w:lang w:val="en-US" w:eastAsia="zh-CN"/>
              </w:rPr>
            </w:pPr>
          </w:p>
        </w:tc>
      </w:tr>
      <w:tr w14:paraId="47844A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4B916244">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565C56A4">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0D27598D">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2049917A">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75D5BB21">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2AFD4F15">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2FB1C27C">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06A9B763">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36D584C2">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02673741">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047C2E97">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71261449">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5479BCFD">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449852F1">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32B74210">
            <w:pPr>
              <w:pStyle w:val="23"/>
              <w:bidi w:val="0"/>
              <w:jc w:val="center"/>
              <w:rPr>
                <w:rFonts w:hint="default" w:ascii="Times New Roman" w:hAnsi="Times New Roman" w:cs="Times New Roman"/>
                <w:color w:val="auto"/>
                <w:lang w:val="en-US" w:eastAsia="zh-CN"/>
              </w:rPr>
            </w:pPr>
          </w:p>
        </w:tc>
      </w:tr>
      <w:tr w14:paraId="3C45D2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64BEEDA3">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47241334">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6D4127DA">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6D4A86A0">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7FA664CC">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6BC58594">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4D7CCB72">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1D8893D6">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438BFE1B">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5A71C675">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08DF5558">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733FF0B">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4E0642CE">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528FB1A8">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315F5D7C">
            <w:pPr>
              <w:pStyle w:val="23"/>
              <w:bidi w:val="0"/>
              <w:jc w:val="center"/>
              <w:rPr>
                <w:rFonts w:hint="default" w:ascii="Times New Roman" w:hAnsi="Times New Roman" w:cs="Times New Roman"/>
                <w:color w:val="auto"/>
                <w:lang w:val="en-US" w:eastAsia="zh-CN"/>
              </w:rPr>
            </w:pPr>
          </w:p>
        </w:tc>
      </w:tr>
      <w:tr w14:paraId="655432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26B7E107">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29D37491">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2716BE45">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1DE3CE3F">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5D04136F">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4CE886A3">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3ABC50FE">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3A1D0BDB">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57561CA0">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4CE93001">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53AFB2C3">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6B3901C8">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53EFD604">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57671652">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30BFAAA7">
            <w:pPr>
              <w:pStyle w:val="23"/>
              <w:bidi w:val="0"/>
              <w:jc w:val="center"/>
              <w:rPr>
                <w:rFonts w:hint="default" w:ascii="Times New Roman" w:hAnsi="Times New Roman" w:cs="Times New Roman"/>
                <w:color w:val="auto"/>
                <w:lang w:val="en-US" w:eastAsia="zh-CN"/>
              </w:rPr>
            </w:pPr>
          </w:p>
        </w:tc>
      </w:tr>
      <w:tr w14:paraId="35F76B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0D187558">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56F05916">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511F636E">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4388FCCE">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6EA991DF">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30054495">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05B22A49">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2C906A55">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22DDB9ED">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248C75BA">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6A6F669C">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038B5791">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14BC540">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6DA99076">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57D7A032">
            <w:pPr>
              <w:pStyle w:val="23"/>
              <w:bidi w:val="0"/>
              <w:jc w:val="center"/>
              <w:rPr>
                <w:rFonts w:hint="default" w:ascii="Times New Roman" w:hAnsi="Times New Roman" w:cs="Times New Roman"/>
                <w:color w:val="auto"/>
                <w:lang w:val="en-US" w:eastAsia="zh-CN"/>
              </w:rPr>
            </w:pPr>
          </w:p>
        </w:tc>
      </w:tr>
      <w:tr w14:paraId="6032D8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074A2964">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6788651A">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30C78FA8">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2C2E496E">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08FA09D0">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65936A25">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0D12EFA5">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018009B9">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09E51A7D">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25D65D11">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571897BF">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775CF1C5">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1CD68BEB">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54DE2401">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2BA65A9C">
            <w:pPr>
              <w:pStyle w:val="23"/>
              <w:bidi w:val="0"/>
              <w:jc w:val="center"/>
              <w:rPr>
                <w:rFonts w:hint="default" w:ascii="Times New Roman" w:hAnsi="Times New Roman" w:cs="Times New Roman"/>
                <w:color w:val="auto"/>
                <w:lang w:val="en-US" w:eastAsia="zh-CN"/>
              </w:rPr>
            </w:pPr>
          </w:p>
        </w:tc>
      </w:tr>
      <w:tr w14:paraId="20C3AB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7EFC4926">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7B779638">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2CA098DB">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5C39A4BF">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6D244132">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189643F0">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61B5C161">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41FD2F00">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71CE1CFE">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4C48169E">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16EE05A5">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06C6DB3A">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49A0E51B">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72093E6D">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27F902E5">
            <w:pPr>
              <w:pStyle w:val="23"/>
              <w:bidi w:val="0"/>
              <w:jc w:val="center"/>
              <w:rPr>
                <w:rFonts w:hint="default" w:ascii="Times New Roman" w:hAnsi="Times New Roman" w:cs="Times New Roman"/>
                <w:color w:val="auto"/>
                <w:lang w:val="en-US" w:eastAsia="zh-CN"/>
              </w:rPr>
            </w:pPr>
          </w:p>
        </w:tc>
      </w:tr>
      <w:tr w14:paraId="43BC12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2B630EDA">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7BCAD6F8">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5E1E99AB">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5B2685DE">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5EA15BA7">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01D42D98">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17A75910">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4323F6CD">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5DF2E068">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1E270ADB">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1DA1A911">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7D07F1C0">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3EC946E6">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357B32EE">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2F9414ED">
            <w:pPr>
              <w:pStyle w:val="23"/>
              <w:bidi w:val="0"/>
              <w:jc w:val="center"/>
              <w:rPr>
                <w:rFonts w:hint="default" w:ascii="Times New Roman" w:hAnsi="Times New Roman" w:cs="Times New Roman"/>
                <w:color w:val="auto"/>
                <w:lang w:val="en-US" w:eastAsia="zh-CN"/>
              </w:rPr>
            </w:pPr>
          </w:p>
        </w:tc>
      </w:tr>
      <w:tr w14:paraId="4C8CD0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44EAA0AA">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3499B064">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42EBE8F3">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0F48E0EE">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62302CDA">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1B33CE4F">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3CB3BD97">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68CE9205">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772C9614">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26B655FD">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33A8A21F">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8D7D65D">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2655BFC">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37678349">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217B0454">
            <w:pPr>
              <w:pStyle w:val="23"/>
              <w:bidi w:val="0"/>
              <w:jc w:val="center"/>
              <w:rPr>
                <w:rFonts w:hint="default" w:ascii="Times New Roman" w:hAnsi="Times New Roman" w:cs="Times New Roman"/>
                <w:color w:val="auto"/>
                <w:lang w:val="en-US" w:eastAsia="zh-CN"/>
              </w:rPr>
            </w:pPr>
          </w:p>
        </w:tc>
      </w:tr>
      <w:tr w14:paraId="15B0EC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0B314395">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49F149DB">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124ED8A0">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20C594F0">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5FD1E819">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51B79F0B">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54D253F8">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6EECA928">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38D50CB7">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2AF7BEEC">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1EF37B14">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4410346C">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CED16F5">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114C5F6D">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30AA7F86">
            <w:pPr>
              <w:pStyle w:val="23"/>
              <w:bidi w:val="0"/>
              <w:jc w:val="center"/>
              <w:rPr>
                <w:rFonts w:hint="default" w:ascii="Times New Roman" w:hAnsi="Times New Roman" w:cs="Times New Roman"/>
                <w:color w:val="auto"/>
                <w:lang w:val="en-US" w:eastAsia="zh-CN"/>
              </w:rPr>
            </w:pPr>
          </w:p>
        </w:tc>
      </w:tr>
      <w:tr w14:paraId="2309A3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27E5CB85">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7DB1FD18">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0B4C71DF">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59461E6C">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39BBBAE1">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42E5DB74">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77C80741">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644B6A8B">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20B3063A">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207579BD">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037210BF">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026A5ACE">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44B39629">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69846CA6">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64D21E61">
            <w:pPr>
              <w:pStyle w:val="23"/>
              <w:bidi w:val="0"/>
              <w:jc w:val="center"/>
              <w:rPr>
                <w:rFonts w:hint="default" w:ascii="Times New Roman" w:hAnsi="Times New Roman" w:cs="Times New Roman"/>
                <w:color w:val="auto"/>
                <w:lang w:val="en-US" w:eastAsia="zh-CN"/>
              </w:rPr>
            </w:pPr>
          </w:p>
        </w:tc>
      </w:tr>
      <w:tr w14:paraId="4738B5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241F2A6E">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51B9DF8D">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6BEE6539">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59EBAF97">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01319016">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421DD047">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5A13BA2A">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2E17EE79">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75678787">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53EC9482">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69651015">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7FD7A3B4">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77566E45">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6A6767B8">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394D916A">
            <w:pPr>
              <w:pStyle w:val="23"/>
              <w:bidi w:val="0"/>
              <w:jc w:val="center"/>
              <w:rPr>
                <w:rFonts w:hint="default" w:ascii="Times New Roman" w:hAnsi="Times New Roman" w:cs="Times New Roman"/>
                <w:color w:val="auto"/>
                <w:lang w:val="en-US" w:eastAsia="zh-CN"/>
              </w:rPr>
            </w:pPr>
          </w:p>
        </w:tc>
      </w:tr>
      <w:tr w14:paraId="745E02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07439586">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5A441953">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31B31034">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61C4CC89">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00EAB345">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69454B7A">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481B1CEC">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74997F4B">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7173757E">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25648D83">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7DB06CEA">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7A968AF1">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61D4F75C">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7A0AF34E">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5B1171C3">
            <w:pPr>
              <w:pStyle w:val="23"/>
              <w:bidi w:val="0"/>
              <w:jc w:val="center"/>
              <w:rPr>
                <w:rFonts w:hint="default" w:ascii="Times New Roman" w:hAnsi="Times New Roman" w:cs="Times New Roman"/>
                <w:color w:val="auto"/>
                <w:lang w:val="en-US" w:eastAsia="zh-CN"/>
              </w:rPr>
            </w:pPr>
          </w:p>
        </w:tc>
      </w:tr>
      <w:tr w14:paraId="1238BE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20F199F4">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1101DD49">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570EE8D4">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27D7B003">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3AC7BB06">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564B5908">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7E927113">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0D20904F">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59C3A8A5">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4803751C">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305DFF98">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242D372">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77C481A9">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696002D1">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05C97D6E">
            <w:pPr>
              <w:pStyle w:val="23"/>
              <w:bidi w:val="0"/>
              <w:jc w:val="center"/>
              <w:rPr>
                <w:rFonts w:hint="default" w:ascii="Times New Roman" w:hAnsi="Times New Roman" w:cs="Times New Roman"/>
                <w:color w:val="auto"/>
                <w:lang w:val="en-US" w:eastAsia="zh-CN"/>
              </w:rPr>
            </w:pPr>
          </w:p>
        </w:tc>
      </w:tr>
      <w:tr w14:paraId="50E46D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2C427382">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4475283B">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12DA30A2">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5EB4E424">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3E89765F">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40242D2A">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44531170">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44CEB53F">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2C49BA83">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553EEFA6">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28791F19">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2911889">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03C480B">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340C481C">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0497D49C">
            <w:pPr>
              <w:pStyle w:val="23"/>
              <w:bidi w:val="0"/>
              <w:jc w:val="center"/>
              <w:rPr>
                <w:rFonts w:hint="default" w:ascii="Times New Roman" w:hAnsi="Times New Roman" w:cs="Times New Roman"/>
                <w:color w:val="auto"/>
                <w:lang w:val="en-US" w:eastAsia="zh-CN"/>
              </w:rPr>
            </w:pPr>
          </w:p>
        </w:tc>
      </w:tr>
      <w:tr w14:paraId="0C09CB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346F58EB">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4F75A587">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07AE4244">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0A586D1D">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1ABE0A79">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72824745">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31D269E4">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7948BFEB">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392C2F46">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3B21B33D">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48D65ED5">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1C47E5C">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24F6576B">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76C9249E">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70161458">
            <w:pPr>
              <w:pStyle w:val="23"/>
              <w:bidi w:val="0"/>
              <w:jc w:val="center"/>
              <w:rPr>
                <w:rFonts w:hint="default" w:ascii="Times New Roman" w:hAnsi="Times New Roman" w:cs="Times New Roman"/>
                <w:color w:val="auto"/>
                <w:lang w:val="en-US" w:eastAsia="zh-CN"/>
              </w:rPr>
            </w:pPr>
          </w:p>
        </w:tc>
      </w:tr>
      <w:tr w14:paraId="0DC96C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39792394">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227A3898">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099B8973">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60A19013">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22F17DC2">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341CB05A">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0EE66DED">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3A649804">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47F24E08">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28AE961F">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22AE8E1B">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527E2678">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6D4E2AA4">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553F4159">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1408B212">
            <w:pPr>
              <w:pStyle w:val="23"/>
              <w:bidi w:val="0"/>
              <w:jc w:val="center"/>
              <w:rPr>
                <w:rFonts w:hint="default" w:ascii="Times New Roman" w:hAnsi="Times New Roman" w:cs="Times New Roman"/>
                <w:color w:val="auto"/>
                <w:lang w:val="en-US" w:eastAsia="zh-CN"/>
              </w:rPr>
            </w:pPr>
          </w:p>
        </w:tc>
      </w:tr>
      <w:tr w14:paraId="6C096A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090D0A38">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565D15D0">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6539EB31">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287B699B">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4AAA96C8">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2F6335E5">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6FEA7AEA">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216A6CCF">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23AF2AE7">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0F4309D7">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7C10141E">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6174AADA">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6EA05167">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39F18B7C">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611CC78F">
            <w:pPr>
              <w:pStyle w:val="23"/>
              <w:bidi w:val="0"/>
              <w:jc w:val="center"/>
              <w:rPr>
                <w:rFonts w:hint="default" w:ascii="Times New Roman" w:hAnsi="Times New Roman" w:cs="Times New Roman"/>
                <w:color w:val="auto"/>
                <w:lang w:val="en-US" w:eastAsia="zh-CN"/>
              </w:rPr>
            </w:pPr>
          </w:p>
        </w:tc>
      </w:tr>
      <w:tr w14:paraId="0C3489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48E6932E">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7F06944C">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1AE1D319">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2FEE0637">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1D2ED932">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16DDF726">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200DD458">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6D5D50E1">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3F7B4FC4">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4B65EA93">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706560F1">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68FFF439">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1352C70E">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1EF9E1C4">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54EF1F4F">
            <w:pPr>
              <w:pStyle w:val="23"/>
              <w:bidi w:val="0"/>
              <w:jc w:val="center"/>
              <w:rPr>
                <w:rFonts w:hint="default" w:ascii="Times New Roman" w:hAnsi="Times New Roman" w:cs="Times New Roman"/>
                <w:color w:val="auto"/>
                <w:lang w:val="en-US" w:eastAsia="zh-CN"/>
              </w:rPr>
            </w:pPr>
          </w:p>
        </w:tc>
      </w:tr>
      <w:tr w14:paraId="1DCA73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00530CE5">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02B3E977">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3DC65DAF">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33A62948">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519B08B0">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7CCE61FE">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7A052226">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5D9E0F1D">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5E11229E">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64AA2B2A">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6521456A">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8701F0B">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243BEFC">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1A263F5F">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34821D6C">
            <w:pPr>
              <w:pStyle w:val="23"/>
              <w:bidi w:val="0"/>
              <w:jc w:val="center"/>
              <w:rPr>
                <w:rFonts w:hint="default" w:ascii="Times New Roman" w:hAnsi="Times New Roman" w:cs="Times New Roman"/>
                <w:color w:val="auto"/>
                <w:lang w:val="en-US" w:eastAsia="zh-CN"/>
              </w:rPr>
            </w:pPr>
          </w:p>
        </w:tc>
      </w:tr>
      <w:tr w14:paraId="5DD422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14661F83">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77EB89FF">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71B7A60C">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5D7D3770">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586B0623">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388ADA1B">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79588DDC">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0698FB26">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1B32D372">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75182184">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50F7A1B1">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5C842109">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5648984">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6D5715AE">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196E546B">
            <w:pPr>
              <w:pStyle w:val="23"/>
              <w:bidi w:val="0"/>
              <w:jc w:val="center"/>
              <w:rPr>
                <w:rFonts w:hint="default" w:ascii="Times New Roman" w:hAnsi="Times New Roman" w:cs="Times New Roman"/>
                <w:color w:val="auto"/>
                <w:lang w:val="en-US" w:eastAsia="zh-CN"/>
              </w:rPr>
            </w:pPr>
          </w:p>
        </w:tc>
      </w:tr>
      <w:tr w14:paraId="3FA2BF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79BE4751">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3D65D393">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37B4C52A">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63AB3991">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21E1346F">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5C4ADCFB">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4CF2D19C">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4D8895D5">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7AE9C5CF">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25781285">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51FF43D2">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85201BF">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5C657338">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1BCE4038">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3B5CEB75">
            <w:pPr>
              <w:pStyle w:val="23"/>
              <w:bidi w:val="0"/>
              <w:jc w:val="center"/>
              <w:rPr>
                <w:rFonts w:hint="default" w:ascii="Times New Roman" w:hAnsi="Times New Roman" w:cs="Times New Roman"/>
                <w:color w:val="auto"/>
                <w:lang w:val="en-US" w:eastAsia="zh-CN"/>
              </w:rPr>
            </w:pPr>
          </w:p>
        </w:tc>
      </w:tr>
      <w:tr w14:paraId="25772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45F265E4">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6AD842E5">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315D9BE8">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6B627C1E">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78415CCF">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0FB4C8B4">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060C4092">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42A4E43B">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697117DE">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7EAA3700">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7E49A9DC">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19F9049">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77F97DE1">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6FB529E3">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00BD4B69">
            <w:pPr>
              <w:pStyle w:val="23"/>
              <w:bidi w:val="0"/>
              <w:jc w:val="center"/>
              <w:rPr>
                <w:rFonts w:hint="default" w:ascii="Times New Roman" w:hAnsi="Times New Roman" w:cs="Times New Roman"/>
                <w:color w:val="auto"/>
                <w:lang w:val="en-US" w:eastAsia="zh-CN"/>
              </w:rPr>
            </w:pPr>
          </w:p>
        </w:tc>
      </w:tr>
      <w:tr w14:paraId="75EEC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24C53BAB">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02A88DAC">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35967706">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7614FB2E">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5F71D878">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7FAE6172">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102E27CA">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275A9171">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5ED61E57">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4064822D">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63D86ABF">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408E8220">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6D360819">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47411538">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7FF5E021">
            <w:pPr>
              <w:pStyle w:val="23"/>
              <w:bidi w:val="0"/>
              <w:jc w:val="center"/>
              <w:rPr>
                <w:rFonts w:hint="default" w:ascii="Times New Roman" w:hAnsi="Times New Roman" w:cs="Times New Roman"/>
                <w:color w:val="auto"/>
                <w:lang w:val="en-US" w:eastAsia="zh-CN"/>
              </w:rPr>
            </w:pPr>
          </w:p>
        </w:tc>
      </w:tr>
      <w:tr w14:paraId="068F6F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7F089796">
            <w:pPr>
              <w:pStyle w:val="23"/>
              <w:bidi w:val="0"/>
              <w:jc w:val="center"/>
              <w:rPr>
                <w:rFonts w:hint="default" w:ascii="Times New Roman" w:hAnsi="Times New Roman" w:cs="Times New Roman"/>
                <w:color w:val="auto"/>
                <w:lang w:val="en-US" w:eastAsia="zh-CN"/>
              </w:rPr>
            </w:pPr>
          </w:p>
        </w:tc>
        <w:tc>
          <w:tcPr>
            <w:tcW w:w="959" w:type="dxa"/>
            <w:shd w:val="clear" w:color="auto" w:fill="auto"/>
            <w:vAlign w:val="top"/>
          </w:tcPr>
          <w:p w14:paraId="122185D7">
            <w:pPr>
              <w:pStyle w:val="23"/>
              <w:bidi w:val="0"/>
              <w:rPr>
                <w:rFonts w:hint="default"/>
                <w:color w:val="auto"/>
                <w:lang w:val="en-US" w:eastAsia="zh-CN"/>
              </w:rPr>
            </w:pPr>
          </w:p>
        </w:tc>
        <w:tc>
          <w:tcPr>
            <w:tcW w:w="806" w:type="dxa"/>
            <w:shd w:val="clear" w:color="auto" w:fill="auto"/>
            <w:vAlign w:val="center"/>
          </w:tcPr>
          <w:p w14:paraId="5165D2E6">
            <w:pPr>
              <w:pStyle w:val="23"/>
              <w:bidi w:val="0"/>
              <w:rPr>
                <w:rFonts w:hint="default"/>
                <w:color w:val="auto"/>
                <w:lang w:val="en-US" w:eastAsia="zh-CN"/>
              </w:rPr>
            </w:pPr>
          </w:p>
        </w:tc>
        <w:tc>
          <w:tcPr>
            <w:tcW w:w="769" w:type="dxa"/>
            <w:shd w:val="clear" w:color="auto" w:fill="auto"/>
            <w:vAlign w:val="center"/>
          </w:tcPr>
          <w:p w14:paraId="4A8DD672">
            <w:pPr>
              <w:pStyle w:val="23"/>
              <w:bidi w:val="0"/>
              <w:rPr>
                <w:rFonts w:hint="default"/>
                <w:color w:val="auto"/>
                <w:lang w:val="en-US" w:eastAsia="zh-CN"/>
              </w:rPr>
            </w:pPr>
          </w:p>
        </w:tc>
        <w:tc>
          <w:tcPr>
            <w:tcW w:w="805" w:type="dxa"/>
            <w:shd w:val="clear" w:color="auto" w:fill="auto"/>
            <w:vAlign w:val="center"/>
          </w:tcPr>
          <w:p w14:paraId="3FBF7531">
            <w:pPr>
              <w:pStyle w:val="23"/>
              <w:bidi w:val="0"/>
              <w:rPr>
                <w:rFonts w:hint="default"/>
                <w:color w:val="auto"/>
                <w:lang w:val="en-US" w:eastAsia="zh-CN"/>
              </w:rPr>
            </w:pPr>
          </w:p>
        </w:tc>
        <w:tc>
          <w:tcPr>
            <w:tcW w:w="794" w:type="dxa"/>
            <w:shd w:val="clear" w:color="auto" w:fill="auto"/>
            <w:vAlign w:val="center"/>
          </w:tcPr>
          <w:p w14:paraId="71A47358">
            <w:pPr>
              <w:pStyle w:val="23"/>
              <w:bidi w:val="0"/>
              <w:rPr>
                <w:rFonts w:hint="default"/>
                <w:color w:val="auto"/>
                <w:lang w:val="en-US" w:eastAsia="zh-CN"/>
              </w:rPr>
            </w:pPr>
          </w:p>
        </w:tc>
        <w:tc>
          <w:tcPr>
            <w:tcW w:w="942" w:type="dxa"/>
            <w:shd w:val="clear" w:color="auto" w:fill="auto"/>
            <w:vAlign w:val="center"/>
          </w:tcPr>
          <w:p w14:paraId="1AEDD7ED">
            <w:pPr>
              <w:pStyle w:val="23"/>
              <w:bidi w:val="0"/>
              <w:rPr>
                <w:rFonts w:hint="default"/>
                <w:color w:val="auto"/>
                <w:lang w:val="en-US" w:eastAsia="zh-CN"/>
              </w:rPr>
            </w:pPr>
          </w:p>
        </w:tc>
        <w:tc>
          <w:tcPr>
            <w:tcW w:w="905" w:type="dxa"/>
            <w:shd w:val="clear" w:color="auto" w:fill="auto"/>
            <w:vAlign w:val="center"/>
          </w:tcPr>
          <w:p w14:paraId="14F6BB26">
            <w:pPr>
              <w:pStyle w:val="23"/>
              <w:bidi w:val="0"/>
              <w:rPr>
                <w:rFonts w:hint="default"/>
                <w:color w:val="auto"/>
                <w:lang w:val="en-US" w:eastAsia="zh-CN"/>
              </w:rPr>
            </w:pPr>
          </w:p>
        </w:tc>
        <w:tc>
          <w:tcPr>
            <w:tcW w:w="979" w:type="dxa"/>
            <w:shd w:val="clear" w:color="auto" w:fill="auto"/>
            <w:vAlign w:val="center"/>
          </w:tcPr>
          <w:p w14:paraId="6BB8F354">
            <w:pPr>
              <w:pStyle w:val="23"/>
              <w:bidi w:val="0"/>
              <w:rPr>
                <w:rFonts w:hint="default"/>
                <w:color w:val="auto"/>
                <w:lang w:val="en-US" w:eastAsia="zh-CN"/>
              </w:rPr>
            </w:pPr>
          </w:p>
        </w:tc>
        <w:tc>
          <w:tcPr>
            <w:tcW w:w="967" w:type="dxa"/>
            <w:shd w:val="clear" w:color="auto" w:fill="auto"/>
            <w:vAlign w:val="center"/>
          </w:tcPr>
          <w:p w14:paraId="04F5C7DB">
            <w:pPr>
              <w:pStyle w:val="23"/>
              <w:bidi w:val="0"/>
              <w:rPr>
                <w:rFonts w:hint="default"/>
                <w:color w:val="auto"/>
                <w:lang w:val="en-US" w:eastAsia="zh-CN"/>
              </w:rPr>
            </w:pPr>
          </w:p>
        </w:tc>
        <w:tc>
          <w:tcPr>
            <w:tcW w:w="1190" w:type="dxa"/>
            <w:shd w:val="clear" w:color="auto" w:fill="auto"/>
            <w:vAlign w:val="center"/>
          </w:tcPr>
          <w:p w14:paraId="360B0788">
            <w:pPr>
              <w:pStyle w:val="23"/>
              <w:bidi w:val="0"/>
              <w:rPr>
                <w:rFonts w:hint="default"/>
                <w:color w:val="auto"/>
                <w:lang w:val="en-US" w:eastAsia="zh-CN"/>
              </w:rPr>
            </w:pPr>
          </w:p>
        </w:tc>
        <w:tc>
          <w:tcPr>
            <w:tcW w:w="1215" w:type="dxa"/>
            <w:shd w:val="clear" w:color="auto" w:fill="auto"/>
            <w:vAlign w:val="center"/>
          </w:tcPr>
          <w:p w14:paraId="1527ECAC">
            <w:pPr>
              <w:pStyle w:val="23"/>
              <w:bidi w:val="0"/>
              <w:rPr>
                <w:rFonts w:hint="default"/>
                <w:color w:val="auto"/>
                <w:lang w:val="en-US" w:eastAsia="zh-CN"/>
              </w:rPr>
            </w:pPr>
          </w:p>
        </w:tc>
        <w:tc>
          <w:tcPr>
            <w:tcW w:w="1054" w:type="dxa"/>
            <w:shd w:val="clear" w:color="auto" w:fill="auto"/>
            <w:vAlign w:val="center"/>
          </w:tcPr>
          <w:p w14:paraId="219F4D1E">
            <w:pPr>
              <w:pStyle w:val="23"/>
              <w:bidi w:val="0"/>
              <w:rPr>
                <w:rFonts w:hint="default"/>
                <w:color w:val="auto"/>
                <w:lang w:val="en-US" w:eastAsia="zh-CN"/>
              </w:rPr>
            </w:pPr>
          </w:p>
        </w:tc>
        <w:tc>
          <w:tcPr>
            <w:tcW w:w="992" w:type="dxa"/>
            <w:shd w:val="clear" w:color="auto" w:fill="auto"/>
            <w:vAlign w:val="center"/>
          </w:tcPr>
          <w:p w14:paraId="6D529ED2">
            <w:pPr>
              <w:pStyle w:val="23"/>
              <w:bidi w:val="0"/>
              <w:rPr>
                <w:rFonts w:hint="default"/>
                <w:color w:val="auto"/>
                <w:lang w:val="en-US" w:eastAsia="zh-CN"/>
              </w:rPr>
            </w:pPr>
          </w:p>
        </w:tc>
        <w:tc>
          <w:tcPr>
            <w:tcW w:w="837" w:type="dxa"/>
            <w:shd w:val="clear" w:color="auto" w:fill="auto"/>
            <w:vAlign w:val="center"/>
          </w:tcPr>
          <w:p w14:paraId="10AA80E9">
            <w:pPr>
              <w:pStyle w:val="23"/>
              <w:bidi w:val="0"/>
              <w:rPr>
                <w:rFonts w:hint="default"/>
                <w:color w:val="auto"/>
                <w:lang w:val="en-US" w:eastAsia="zh-CN"/>
              </w:rPr>
            </w:pPr>
          </w:p>
        </w:tc>
      </w:tr>
      <w:tr w14:paraId="77622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350DE3BC">
            <w:pPr>
              <w:pStyle w:val="23"/>
              <w:bidi w:val="0"/>
              <w:jc w:val="center"/>
              <w:rPr>
                <w:rFonts w:hint="default" w:ascii="Times New Roman" w:hAnsi="Times New Roman" w:cs="Times New Roman"/>
                <w:color w:val="auto"/>
                <w:lang w:val="en-US" w:eastAsia="zh-CN"/>
              </w:rPr>
            </w:pPr>
          </w:p>
        </w:tc>
        <w:tc>
          <w:tcPr>
            <w:tcW w:w="959" w:type="dxa"/>
            <w:shd w:val="clear" w:color="auto" w:fill="auto"/>
            <w:vAlign w:val="top"/>
          </w:tcPr>
          <w:p w14:paraId="295235E9">
            <w:pPr>
              <w:pStyle w:val="23"/>
              <w:bidi w:val="0"/>
              <w:rPr>
                <w:rFonts w:hint="default"/>
                <w:color w:val="auto"/>
                <w:lang w:val="en-US" w:eastAsia="zh-CN"/>
              </w:rPr>
            </w:pPr>
          </w:p>
        </w:tc>
        <w:tc>
          <w:tcPr>
            <w:tcW w:w="806" w:type="dxa"/>
            <w:shd w:val="clear" w:color="auto" w:fill="auto"/>
            <w:vAlign w:val="center"/>
          </w:tcPr>
          <w:p w14:paraId="436D4C23">
            <w:pPr>
              <w:pStyle w:val="23"/>
              <w:bidi w:val="0"/>
              <w:rPr>
                <w:rFonts w:hint="default"/>
                <w:color w:val="auto"/>
                <w:lang w:val="en-US" w:eastAsia="zh-CN"/>
              </w:rPr>
            </w:pPr>
          </w:p>
        </w:tc>
        <w:tc>
          <w:tcPr>
            <w:tcW w:w="769" w:type="dxa"/>
            <w:shd w:val="clear" w:color="auto" w:fill="auto"/>
            <w:vAlign w:val="center"/>
          </w:tcPr>
          <w:p w14:paraId="20359F3B">
            <w:pPr>
              <w:pStyle w:val="23"/>
              <w:bidi w:val="0"/>
              <w:rPr>
                <w:rFonts w:hint="default"/>
                <w:color w:val="auto"/>
                <w:lang w:val="en-US" w:eastAsia="zh-CN"/>
              </w:rPr>
            </w:pPr>
          </w:p>
        </w:tc>
        <w:tc>
          <w:tcPr>
            <w:tcW w:w="805" w:type="dxa"/>
            <w:shd w:val="clear" w:color="auto" w:fill="auto"/>
            <w:vAlign w:val="center"/>
          </w:tcPr>
          <w:p w14:paraId="2CB07421">
            <w:pPr>
              <w:pStyle w:val="23"/>
              <w:bidi w:val="0"/>
              <w:rPr>
                <w:rFonts w:hint="default"/>
                <w:color w:val="auto"/>
                <w:lang w:val="en-US" w:eastAsia="zh-CN"/>
              </w:rPr>
            </w:pPr>
          </w:p>
        </w:tc>
        <w:tc>
          <w:tcPr>
            <w:tcW w:w="794" w:type="dxa"/>
            <w:shd w:val="clear" w:color="auto" w:fill="auto"/>
            <w:vAlign w:val="center"/>
          </w:tcPr>
          <w:p w14:paraId="7E2C8B71">
            <w:pPr>
              <w:pStyle w:val="23"/>
              <w:bidi w:val="0"/>
              <w:rPr>
                <w:rFonts w:hint="default"/>
                <w:color w:val="auto"/>
                <w:lang w:val="en-US" w:eastAsia="zh-CN"/>
              </w:rPr>
            </w:pPr>
          </w:p>
        </w:tc>
        <w:tc>
          <w:tcPr>
            <w:tcW w:w="942" w:type="dxa"/>
            <w:shd w:val="clear" w:color="auto" w:fill="auto"/>
            <w:vAlign w:val="center"/>
          </w:tcPr>
          <w:p w14:paraId="0DCC212F">
            <w:pPr>
              <w:pStyle w:val="23"/>
              <w:bidi w:val="0"/>
              <w:rPr>
                <w:rFonts w:hint="default"/>
                <w:color w:val="auto"/>
                <w:lang w:val="en-US" w:eastAsia="zh-CN"/>
              </w:rPr>
            </w:pPr>
          </w:p>
        </w:tc>
        <w:tc>
          <w:tcPr>
            <w:tcW w:w="905" w:type="dxa"/>
            <w:shd w:val="clear" w:color="auto" w:fill="auto"/>
            <w:vAlign w:val="center"/>
          </w:tcPr>
          <w:p w14:paraId="25444517">
            <w:pPr>
              <w:pStyle w:val="23"/>
              <w:bidi w:val="0"/>
              <w:rPr>
                <w:rFonts w:hint="default"/>
                <w:color w:val="auto"/>
                <w:lang w:val="en-US" w:eastAsia="zh-CN"/>
              </w:rPr>
            </w:pPr>
          </w:p>
        </w:tc>
        <w:tc>
          <w:tcPr>
            <w:tcW w:w="979" w:type="dxa"/>
            <w:shd w:val="clear" w:color="auto" w:fill="auto"/>
            <w:vAlign w:val="center"/>
          </w:tcPr>
          <w:p w14:paraId="52D0BE3A">
            <w:pPr>
              <w:pStyle w:val="23"/>
              <w:bidi w:val="0"/>
              <w:rPr>
                <w:rFonts w:hint="default"/>
                <w:color w:val="auto"/>
                <w:lang w:val="en-US" w:eastAsia="zh-CN"/>
              </w:rPr>
            </w:pPr>
          </w:p>
        </w:tc>
        <w:tc>
          <w:tcPr>
            <w:tcW w:w="967" w:type="dxa"/>
            <w:shd w:val="clear" w:color="auto" w:fill="auto"/>
            <w:vAlign w:val="center"/>
          </w:tcPr>
          <w:p w14:paraId="0CFDB080">
            <w:pPr>
              <w:pStyle w:val="23"/>
              <w:bidi w:val="0"/>
              <w:rPr>
                <w:rFonts w:hint="default"/>
                <w:color w:val="auto"/>
                <w:lang w:val="en-US" w:eastAsia="zh-CN"/>
              </w:rPr>
            </w:pPr>
          </w:p>
        </w:tc>
        <w:tc>
          <w:tcPr>
            <w:tcW w:w="1190" w:type="dxa"/>
            <w:shd w:val="clear" w:color="auto" w:fill="auto"/>
            <w:vAlign w:val="center"/>
          </w:tcPr>
          <w:p w14:paraId="010C1BA2">
            <w:pPr>
              <w:pStyle w:val="23"/>
              <w:bidi w:val="0"/>
              <w:rPr>
                <w:rFonts w:hint="default"/>
                <w:color w:val="auto"/>
                <w:lang w:val="en-US" w:eastAsia="zh-CN"/>
              </w:rPr>
            </w:pPr>
          </w:p>
        </w:tc>
        <w:tc>
          <w:tcPr>
            <w:tcW w:w="1215" w:type="dxa"/>
            <w:shd w:val="clear" w:color="auto" w:fill="auto"/>
            <w:vAlign w:val="center"/>
          </w:tcPr>
          <w:p w14:paraId="0756037E">
            <w:pPr>
              <w:pStyle w:val="23"/>
              <w:bidi w:val="0"/>
              <w:rPr>
                <w:rFonts w:hint="default"/>
                <w:color w:val="auto"/>
                <w:lang w:val="en-US" w:eastAsia="zh-CN"/>
              </w:rPr>
            </w:pPr>
          </w:p>
        </w:tc>
        <w:tc>
          <w:tcPr>
            <w:tcW w:w="1054" w:type="dxa"/>
            <w:shd w:val="clear" w:color="auto" w:fill="auto"/>
            <w:vAlign w:val="center"/>
          </w:tcPr>
          <w:p w14:paraId="0A72F487">
            <w:pPr>
              <w:pStyle w:val="23"/>
              <w:bidi w:val="0"/>
              <w:rPr>
                <w:rFonts w:hint="default"/>
                <w:color w:val="auto"/>
                <w:lang w:val="en-US" w:eastAsia="zh-CN"/>
              </w:rPr>
            </w:pPr>
          </w:p>
        </w:tc>
        <w:tc>
          <w:tcPr>
            <w:tcW w:w="992" w:type="dxa"/>
            <w:shd w:val="clear" w:color="auto" w:fill="auto"/>
            <w:vAlign w:val="center"/>
          </w:tcPr>
          <w:p w14:paraId="1C8DA745">
            <w:pPr>
              <w:pStyle w:val="23"/>
              <w:bidi w:val="0"/>
              <w:rPr>
                <w:rFonts w:hint="default"/>
                <w:color w:val="auto"/>
                <w:lang w:val="en-US" w:eastAsia="zh-CN"/>
              </w:rPr>
            </w:pPr>
          </w:p>
        </w:tc>
        <w:tc>
          <w:tcPr>
            <w:tcW w:w="837" w:type="dxa"/>
            <w:shd w:val="clear" w:color="auto" w:fill="auto"/>
            <w:vAlign w:val="center"/>
          </w:tcPr>
          <w:p w14:paraId="3545C5B8">
            <w:pPr>
              <w:pStyle w:val="23"/>
              <w:bidi w:val="0"/>
              <w:rPr>
                <w:rFonts w:hint="default"/>
                <w:color w:val="auto"/>
                <w:lang w:val="en-US" w:eastAsia="zh-CN"/>
              </w:rPr>
            </w:pPr>
          </w:p>
        </w:tc>
      </w:tr>
      <w:tr w14:paraId="538797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78A5FEC2">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36736E22">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2F74C4D6">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4234025B">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5A4328EB">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7A4EF423">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7886B268">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4C7BBDAD">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2E867071">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4643CD8F">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0750DA4F">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3D32162">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7E0B15F8">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253F404E">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625913A7">
            <w:pPr>
              <w:pStyle w:val="23"/>
              <w:bidi w:val="0"/>
              <w:jc w:val="center"/>
              <w:rPr>
                <w:rFonts w:hint="default" w:ascii="Times New Roman" w:hAnsi="Times New Roman" w:cs="Times New Roman"/>
                <w:color w:val="auto"/>
                <w:lang w:val="en-US" w:eastAsia="zh-CN"/>
              </w:rPr>
            </w:pPr>
          </w:p>
        </w:tc>
      </w:tr>
      <w:tr w14:paraId="680F95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1DE10888">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647A5E40">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75B6BE8B">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37B0B4F0">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2D531D50">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453F4FEE">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6481BA14">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78249FAD">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3FF62E18">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7CBCD77B">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78E426C5">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02E7A59D">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60A1CB89">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3BC3D206">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681C7500">
            <w:pPr>
              <w:pStyle w:val="23"/>
              <w:bidi w:val="0"/>
              <w:jc w:val="center"/>
              <w:rPr>
                <w:rFonts w:hint="default" w:ascii="Times New Roman" w:hAnsi="Times New Roman" w:cs="Times New Roman"/>
                <w:color w:val="auto"/>
                <w:lang w:val="en-US" w:eastAsia="zh-CN"/>
              </w:rPr>
            </w:pPr>
          </w:p>
        </w:tc>
      </w:tr>
      <w:tr w14:paraId="3BD960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1F471CF2">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150FDAB1">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41A904F8">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20984527">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1B20D610">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1CF3ADF2">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3983C748">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4E290ED9">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0B1119F3">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33DB178D">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1C2A041F">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04AE08C1">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1897E19E">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0751DEA1">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1DB0981B">
            <w:pPr>
              <w:pStyle w:val="23"/>
              <w:bidi w:val="0"/>
              <w:jc w:val="center"/>
              <w:rPr>
                <w:rFonts w:hint="default" w:ascii="Times New Roman" w:hAnsi="Times New Roman" w:cs="Times New Roman"/>
                <w:color w:val="auto"/>
                <w:lang w:val="en-US" w:eastAsia="zh-CN"/>
              </w:rPr>
            </w:pPr>
          </w:p>
        </w:tc>
      </w:tr>
      <w:tr w14:paraId="75F22D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2199AB40">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44F4AA2B">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15B6E814">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50564016">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43981292">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4306EC61">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702855CB">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13DA9868">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5A447881">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24FAF3A9">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3943B121">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7CF522CE">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4144A6C1">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33C4687E">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6289F3BA">
            <w:pPr>
              <w:pStyle w:val="23"/>
              <w:bidi w:val="0"/>
              <w:jc w:val="center"/>
              <w:rPr>
                <w:rFonts w:hint="default" w:ascii="Times New Roman" w:hAnsi="Times New Roman" w:cs="Times New Roman"/>
                <w:color w:val="auto"/>
                <w:lang w:val="en-US" w:eastAsia="zh-CN"/>
              </w:rPr>
            </w:pPr>
          </w:p>
        </w:tc>
      </w:tr>
      <w:tr w14:paraId="488DA0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70976A51">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026F80E7">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4BFDB031">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7B377D28">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705DD214">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228B329E">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2B8256ED">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37886706">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0A90806D">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125663A7">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023C8F74">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ACFC014">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FF0ECF3">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2E834AB4">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304D629C">
            <w:pPr>
              <w:pStyle w:val="23"/>
              <w:bidi w:val="0"/>
              <w:jc w:val="center"/>
              <w:rPr>
                <w:rFonts w:hint="default" w:ascii="Times New Roman" w:hAnsi="Times New Roman" w:cs="Times New Roman"/>
                <w:color w:val="auto"/>
                <w:lang w:val="en-US" w:eastAsia="zh-CN"/>
              </w:rPr>
            </w:pPr>
          </w:p>
        </w:tc>
      </w:tr>
      <w:tr w14:paraId="79C520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307705A1">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76B5EFEB">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213F2A35">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0D910DEC">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70487E73">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7F73E26D">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51E03118">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766D4740">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1AD06E61">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3F6E1BAE">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1ADF586E">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5FEE69A1">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174D9922">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0FDF4B98">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25F990FB">
            <w:pPr>
              <w:pStyle w:val="23"/>
              <w:bidi w:val="0"/>
              <w:jc w:val="center"/>
              <w:rPr>
                <w:rFonts w:hint="default" w:ascii="Times New Roman" w:hAnsi="Times New Roman" w:cs="Times New Roman"/>
                <w:color w:val="auto"/>
                <w:lang w:val="en-US" w:eastAsia="zh-CN"/>
              </w:rPr>
            </w:pPr>
          </w:p>
        </w:tc>
      </w:tr>
      <w:tr w14:paraId="74D21E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062A6C73">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5BE75ABE">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2143A000">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74F05F6C">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2A22E506">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4FD27175">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629FD053">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4B19D47E">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58320F11">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7EC81C26">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3E3A124A">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26846DFD">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7FC64E83">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4FA8F597">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67EACF2D">
            <w:pPr>
              <w:pStyle w:val="23"/>
              <w:bidi w:val="0"/>
              <w:jc w:val="center"/>
              <w:rPr>
                <w:rFonts w:hint="default" w:ascii="Times New Roman" w:hAnsi="Times New Roman" w:cs="Times New Roman"/>
                <w:color w:val="auto"/>
                <w:lang w:val="en-US" w:eastAsia="zh-CN"/>
              </w:rPr>
            </w:pPr>
          </w:p>
        </w:tc>
      </w:tr>
      <w:tr w14:paraId="1F5D8A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5C3D223C">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18D6720C">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63BFEA49">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6DAF86EB">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4C685CB5">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78FA3252">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24C999FB">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7E0509D3">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5C748FB6">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3527AA6B">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640ED0C8">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41A933CA">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54718644">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57A91EF5">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4C8C79E0">
            <w:pPr>
              <w:pStyle w:val="23"/>
              <w:bidi w:val="0"/>
              <w:jc w:val="center"/>
              <w:rPr>
                <w:rFonts w:hint="default" w:ascii="Times New Roman" w:hAnsi="Times New Roman" w:cs="Times New Roman"/>
                <w:color w:val="auto"/>
                <w:lang w:val="en-US" w:eastAsia="zh-CN"/>
              </w:rPr>
            </w:pPr>
          </w:p>
        </w:tc>
      </w:tr>
      <w:tr w14:paraId="195122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3058A77A">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7F0F0451">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78506D5E">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5C3A94C6">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65B6E112">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1D42AC7B">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22352BBB">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65E974FC">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3839B50D">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3FC581CF">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5FA42464">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6F9519FE">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4DBB650">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38EA5371">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781470F3">
            <w:pPr>
              <w:pStyle w:val="23"/>
              <w:bidi w:val="0"/>
              <w:jc w:val="center"/>
              <w:rPr>
                <w:rFonts w:hint="default" w:ascii="Times New Roman" w:hAnsi="Times New Roman" w:cs="Times New Roman"/>
                <w:color w:val="auto"/>
                <w:lang w:val="en-US" w:eastAsia="zh-CN"/>
              </w:rPr>
            </w:pPr>
          </w:p>
        </w:tc>
      </w:tr>
      <w:tr w14:paraId="083534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6837588A">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3E7BC0BE">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275C830E">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66F04FB7">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4938D9EF">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71CFFEE1">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618A62A6">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56501760">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7A9E1593">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00C44647">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71E6DC3E">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1D74E615">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15C48A27">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4AB096F6">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3244B908">
            <w:pPr>
              <w:pStyle w:val="23"/>
              <w:bidi w:val="0"/>
              <w:jc w:val="center"/>
              <w:rPr>
                <w:rFonts w:hint="default" w:ascii="Times New Roman" w:hAnsi="Times New Roman" w:cs="Times New Roman"/>
                <w:color w:val="auto"/>
                <w:lang w:val="en-US" w:eastAsia="zh-CN"/>
              </w:rPr>
            </w:pPr>
          </w:p>
        </w:tc>
      </w:tr>
      <w:tr w14:paraId="6042F6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59" w:type="dxa"/>
            <w:vMerge w:val="restart"/>
            <w:shd w:val="clear" w:color="auto" w:fill="auto"/>
            <w:vAlign w:val="center"/>
          </w:tcPr>
          <w:p w14:paraId="2687833F">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27C6D30A">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55DF3927">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28DA8351">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73067EE2">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66102177">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36E5AC13">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69287149">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5B87EEF5">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5306E578">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28EFF5CE">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4D4CCF7">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0706211C">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3224C0F5">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65B0CDCD">
            <w:pPr>
              <w:pStyle w:val="23"/>
              <w:bidi w:val="0"/>
              <w:jc w:val="center"/>
              <w:rPr>
                <w:rFonts w:hint="default" w:ascii="Times New Roman" w:hAnsi="Times New Roman" w:cs="Times New Roman"/>
                <w:color w:val="auto"/>
                <w:lang w:val="en-US" w:eastAsia="zh-CN"/>
              </w:rPr>
            </w:pPr>
          </w:p>
        </w:tc>
      </w:tr>
      <w:tr w14:paraId="7471C5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59" w:type="dxa"/>
            <w:vMerge w:val="continue"/>
            <w:shd w:val="clear" w:color="auto" w:fill="auto"/>
            <w:vAlign w:val="center"/>
          </w:tcPr>
          <w:p w14:paraId="5961704C">
            <w:pPr>
              <w:pStyle w:val="23"/>
              <w:bidi w:val="0"/>
              <w:jc w:val="center"/>
              <w:rPr>
                <w:rFonts w:hint="default" w:ascii="Times New Roman" w:hAnsi="Times New Roman" w:cs="Times New Roman"/>
                <w:color w:val="auto"/>
                <w:lang w:val="en-US" w:eastAsia="zh-CN"/>
              </w:rPr>
            </w:pPr>
          </w:p>
        </w:tc>
        <w:tc>
          <w:tcPr>
            <w:tcW w:w="959" w:type="dxa"/>
            <w:shd w:val="clear" w:color="auto" w:fill="auto"/>
            <w:vAlign w:val="center"/>
          </w:tcPr>
          <w:p w14:paraId="074D6981">
            <w:pPr>
              <w:pStyle w:val="23"/>
              <w:bidi w:val="0"/>
              <w:jc w:val="center"/>
              <w:rPr>
                <w:rFonts w:hint="default" w:ascii="Times New Roman" w:hAnsi="Times New Roman" w:cs="Times New Roman"/>
                <w:color w:val="auto"/>
                <w:lang w:val="en-US" w:eastAsia="zh-CN"/>
              </w:rPr>
            </w:pPr>
          </w:p>
        </w:tc>
        <w:tc>
          <w:tcPr>
            <w:tcW w:w="806" w:type="dxa"/>
            <w:shd w:val="clear" w:color="auto" w:fill="auto"/>
            <w:vAlign w:val="center"/>
          </w:tcPr>
          <w:p w14:paraId="50DDF2B5">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313D11A4">
            <w:pPr>
              <w:pStyle w:val="23"/>
              <w:bidi w:val="0"/>
              <w:jc w:val="center"/>
              <w:rPr>
                <w:rFonts w:hint="default" w:ascii="Times New Roman" w:hAnsi="Times New Roman" w:cs="Times New Roman"/>
                <w:color w:val="auto"/>
                <w:lang w:val="en-US" w:eastAsia="zh-CN"/>
              </w:rPr>
            </w:pPr>
          </w:p>
        </w:tc>
        <w:tc>
          <w:tcPr>
            <w:tcW w:w="805" w:type="dxa"/>
            <w:shd w:val="clear" w:color="auto" w:fill="auto"/>
            <w:vAlign w:val="center"/>
          </w:tcPr>
          <w:p w14:paraId="53791AE6">
            <w:pPr>
              <w:pStyle w:val="23"/>
              <w:bidi w:val="0"/>
              <w:jc w:val="center"/>
              <w:rPr>
                <w:rFonts w:hint="default" w:ascii="Times New Roman" w:hAnsi="Times New Roman" w:cs="Times New Roman"/>
                <w:color w:val="auto"/>
                <w:lang w:val="en-US" w:eastAsia="zh-CN"/>
              </w:rPr>
            </w:pPr>
          </w:p>
        </w:tc>
        <w:tc>
          <w:tcPr>
            <w:tcW w:w="794" w:type="dxa"/>
            <w:shd w:val="clear" w:color="auto" w:fill="auto"/>
            <w:vAlign w:val="center"/>
          </w:tcPr>
          <w:p w14:paraId="6DC1AEF0">
            <w:pPr>
              <w:pStyle w:val="23"/>
              <w:bidi w:val="0"/>
              <w:jc w:val="center"/>
              <w:rPr>
                <w:rFonts w:hint="default" w:ascii="Times New Roman" w:hAnsi="Times New Roman" w:cs="Times New Roman"/>
                <w:color w:val="auto"/>
                <w:lang w:val="en-US" w:eastAsia="zh-CN"/>
              </w:rPr>
            </w:pPr>
          </w:p>
        </w:tc>
        <w:tc>
          <w:tcPr>
            <w:tcW w:w="942" w:type="dxa"/>
            <w:shd w:val="clear" w:color="auto" w:fill="auto"/>
            <w:vAlign w:val="center"/>
          </w:tcPr>
          <w:p w14:paraId="6D1FD42D">
            <w:pPr>
              <w:pStyle w:val="23"/>
              <w:bidi w:val="0"/>
              <w:jc w:val="center"/>
              <w:rPr>
                <w:rFonts w:hint="default" w:ascii="Times New Roman" w:hAnsi="Times New Roman" w:cs="Times New Roman"/>
                <w:color w:val="auto"/>
                <w:lang w:val="en-US" w:eastAsia="zh-CN"/>
              </w:rPr>
            </w:pPr>
          </w:p>
        </w:tc>
        <w:tc>
          <w:tcPr>
            <w:tcW w:w="905" w:type="dxa"/>
            <w:shd w:val="clear" w:color="auto" w:fill="auto"/>
            <w:vAlign w:val="center"/>
          </w:tcPr>
          <w:p w14:paraId="31E28A99">
            <w:pPr>
              <w:pStyle w:val="23"/>
              <w:bidi w:val="0"/>
              <w:jc w:val="center"/>
              <w:rPr>
                <w:rFonts w:hint="default" w:ascii="Times New Roman" w:hAnsi="Times New Roman" w:cs="Times New Roman"/>
                <w:color w:val="auto"/>
                <w:lang w:val="en-US" w:eastAsia="zh-CN"/>
              </w:rPr>
            </w:pPr>
          </w:p>
        </w:tc>
        <w:tc>
          <w:tcPr>
            <w:tcW w:w="979" w:type="dxa"/>
            <w:shd w:val="clear" w:color="auto" w:fill="auto"/>
            <w:vAlign w:val="center"/>
          </w:tcPr>
          <w:p w14:paraId="2B12718B">
            <w:pPr>
              <w:pStyle w:val="23"/>
              <w:bidi w:val="0"/>
              <w:jc w:val="center"/>
              <w:rPr>
                <w:rFonts w:hint="default" w:ascii="Times New Roman" w:hAnsi="Times New Roman" w:cs="Times New Roman"/>
                <w:color w:val="auto"/>
                <w:lang w:val="en-US" w:eastAsia="zh-CN"/>
              </w:rPr>
            </w:pPr>
          </w:p>
        </w:tc>
        <w:tc>
          <w:tcPr>
            <w:tcW w:w="967" w:type="dxa"/>
            <w:shd w:val="clear" w:color="auto" w:fill="auto"/>
            <w:vAlign w:val="center"/>
          </w:tcPr>
          <w:p w14:paraId="03EB898D">
            <w:pPr>
              <w:pStyle w:val="23"/>
              <w:bidi w:val="0"/>
              <w:jc w:val="center"/>
              <w:rPr>
                <w:rFonts w:hint="default" w:ascii="Times New Roman" w:hAnsi="Times New Roman" w:cs="Times New Roman"/>
                <w:color w:val="auto"/>
                <w:lang w:val="en-US" w:eastAsia="zh-CN"/>
              </w:rPr>
            </w:pPr>
          </w:p>
        </w:tc>
        <w:tc>
          <w:tcPr>
            <w:tcW w:w="1190" w:type="dxa"/>
            <w:shd w:val="clear" w:color="auto" w:fill="auto"/>
            <w:vAlign w:val="center"/>
          </w:tcPr>
          <w:p w14:paraId="2BE976EE">
            <w:pPr>
              <w:pStyle w:val="23"/>
              <w:bidi w:val="0"/>
              <w:jc w:val="center"/>
              <w:rPr>
                <w:rFonts w:hint="default" w:ascii="Times New Roman" w:hAnsi="Times New Roman" w:cs="Times New Roman"/>
                <w:color w:val="auto"/>
                <w:lang w:val="en-US" w:eastAsia="zh-CN"/>
              </w:rPr>
            </w:pPr>
          </w:p>
        </w:tc>
        <w:tc>
          <w:tcPr>
            <w:tcW w:w="1215" w:type="dxa"/>
            <w:shd w:val="clear" w:color="auto" w:fill="auto"/>
            <w:vAlign w:val="center"/>
          </w:tcPr>
          <w:p w14:paraId="3F70A26B">
            <w:pPr>
              <w:pStyle w:val="23"/>
              <w:bidi w:val="0"/>
              <w:jc w:val="center"/>
              <w:rPr>
                <w:rFonts w:hint="default" w:ascii="Times New Roman" w:hAnsi="Times New Roman" w:cs="Times New Roman"/>
                <w:color w:val="auto"/>
                <w:lang w:val="en-US" w:eastAsia="zh-CN"/>
              </w:rPr>
            </w:pPr>
          </w:p>
        </w:tc>
        <w:tc>
          <w:tcPr>
            <w:tcW w:w="1054" w:type="dxa"/>
            <w:shd w:val="clear" w:color="auto" w:fill="auto"/>
            <w:vAlign w:val="center"/>
          </w:tcPr>
          <w:p w14:paraId="368E8E48">
            <w:pPr>
              <w:pStyle w:val="23"/>
              <w:bidi w:val="0"/>
              <w:jc w:val="center"/>
              <w:rPr>
                <w:rFonts w:hint="default" w:ascii="Times New Roman" w:hAnsi="Times New Roman" w:cs="Times New Roman"/>
                <w:color w:val="auto"/>
                <w:lang w:val="en-US" w:eastAsia="zh-CN"/>
              </w:rPr>
            </w:pPr>
          </w:p>
        </w:tc>
        <w:tc>
          <w:tcPr>
            <w:tcW w:w="992" w:type="dxa"/>
            <w:shd w:val="clear" w:color="auto" w:fill="auto"/>
            <w:vAlign w:val="center"/>
          </w:tcPr>
          <w:p w14:paraId="4C67AFD6">
            <w:pPr>
              <w:pStyle w:val="23"/>
              <w:bidi w:val="0"/>
              <w:jc w:val="center"/>
              <w:rPr>
                <w:rFonts w:hint="default" w:ascii="Times New Roman" w:hAnsi="Times New Roman" w:cs="Times New Roman"/>
                <w:color w:val="auto"/>
                <w:lang w:val="en-US" w:eastAsia="zh-CN"/>
              </w:rPr>
            </w:pPr>
          </w:p>
        </w:tc>
        <w:tc>
          <w:tcPr>
            <w:tcW w:w="837" w:type="dxa"/>
            <w:shd w:val="clear" w:color="auto" w:fill="auto"/>
            <w:vAlign w:val="center"/>
          </w:tcPr>
          <w:p w14:paraId="4940B3A8">
            <w:pPr>
              <w:pStyle w:val="23"/>
              <w:bidi w:val="0"/>
              <w:jc w:val="center"/>
              <w:rPr>
                <w:rFonts w:hint="default" w:ascii="Times New Roman" w:hAnsi="Times New Roman" w:cs="Times New Roman"/>
                <w:color w:val="auto"/>
                <w:lang w:val="en-US" w:eastAsia="zh-CN"/>
              </w:rPr>
            </w:pPr>
          </w:p>
        </w:tc>
      </w:tr>
      <w:tr w14:paraId="27C906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1918" w:type="dxa"/>
            <w:gridSpan w:val="2"/>
            <w:shd w:val="clear" w:color="auto" w:fill="auto"/>
            <w:vAlign w:val="center"/>
          </w:tcPr>
          <w:p w14:paraId="60B658A1">
            <w:pPr>
              <w:pStyle w:val="23"/>
              <w:bidi w:val="0"/>
              <w:jc w:val="center"/>
              <w:rPr>
                <w:rFonts w:hint="default" w:ascii="Times New Roman" w:hAnsi="Times New Roman" w:cs="Times New Roman"/>
                <w:color w:val="auto"/>
              </w:rPr>
            </w:pPr>
          </w:p>
        </w:tc>
        <w:tc>
          <w:tcPr>
            <w:tcW w:w="806" w:type="dxa"/>
            <w:shd w:val="clear" w:color="auto" w:fill="auto"/>
            <w:vAlign w:val="center"/>
          </w:tcPr>
          <w:p w14:paraId="1ADCAA5D">
            <w:pPr>
              <w:pStyle w:val="23"/>
              <w:bidi w:val="0"/>
              <w:jc w:val="center"/>
              <w:rPr>
                <w:rFonts w:hint="default" w:ascii="Times New Roman" w:hAnsi="Times New Roman" w:cs="Times New Roman"/>
                <w:color w:val="auto"/>
                <w:lang w:val="en-US" w:eastAsia="zh-CN"/>
              </w:rPr>
            </w:pPr>
          </w:p>
        </w:tc>
        <w:tc>
          <w:tcPr>
            <w:tcW w:w="769" w:type="dxa"/>
            <w:shd w:val="clear" w:color="auto" w:fill="auto"/>
            <w:vAlign w:val="center"/>
          </w:tcPr>
          <w:p w14:paraId="74346695">
            <w:pPr>
              <w:pStyle w:val="23"/>
              <w:bidi w:val="0"/>
              <w:jc w:val="center"/>
              <w:rPr>
                <w:rFonts w:hint="default" w:ascii="Times New Roman" w:hAnsi="Times New Roman" w:cs="Times New Roman"/>
                <w:color w:val="auto"/>
              </w:rPr>
            </w:pPr>
          </w:p>
        </w:tc>
        <w:tc>
          <w:tcPr>
            <w:tcW w:w="805" w:type="dxa"/>
            <w:shd w:val="clear" w:color="auto" w:fill="auto"/>
            <w:vAlign w:val="center"/>
          </w:tcPr>
          <w:p w14:paraId="59BA7271">
            <w:pPr>
              <w:pStyle w:val="23"/>
              <w:bidi w:val="0"/>
              <w:jc w:val="center"/>
              <w:rPr>
                <w:rFonts w:hint="default" w:ascii="Times New Roman" w:hAnsi="Times New Roman" w:cs="Times New Roman"/>
                <w:color w:val="auto"/>
              </w:rPr>
            </w:pPr>
          </w:p>
        </w:tc>
        <w:tc>
          <w:tcPr>
            <w:tcW w:w="794" w:type="dxa"/>
            <w:shd w:val="clear" w:color="auto" w:fill="auto"/>
            <w:vAlign w:val="center"/>
          </w:tcPr>
          <w:p w14:paraId="0838C0D6">
            <w:pPr>
              <w:pStyle w:val="23"/>
              <w:bidi w:val="0"/>
              <w:jc w:val="center"/>
              <w:rPr>
                <w:rFonts w:hint="default" w:ascii="Times New Roman" w:hAnsi="Times New Roman" w:cs="Times New Roman"/>
                <w:color w:val="auto"/>
              </w:rPr>
            </w:pPr>
          </w:p>
        </w:tc>
        <w:tc>
          <w:tcPr>
            <w:tcW w:w="942" w:type="dxa"/>
            <w:shd w:val="clear" w:color="auto" w:fill="auto"/>
            <w:vAlign w:val="center"/>
          </w:tcPr>
          <w:p w14:paraId="55BA2F59">
            <w:pPr>
              <w:pStyle w:val="23"/>
              <w:bidi w:val="0"/>
              <w:jc w:val="center"/>
              <w:rPr>
                <w:rFonts w:hint="default" w:ascii="Times New Roman" w:hAnsi="Times New Roman" w:cs="Times New Roman"/>
                <w:color w:val="auto"/>
              </w:rPr>
            </w:pPr>
          </w:p>
        </w:tc>
        <w:tc>
          <w:tcPr>
            <w:tcW w:w="905" w:type="dxa"/>
            <w:shd w:val="clear" w:color="auto" w:fill="auto"/>
            <w:vAlign w:val="center"/>
          </w:tcPr>
          <w:p w14:paraId="364D6FAB">
            <w:pPr>
              <w:pStyle w:val="23"/>
              <w:bidi w:val="0"/>
              <w:jc w:val="center"/>
              <w:rPr>
                <w:rFonts w:hint="default" w:ascii="Times New Roman" w:hAnsi="Times New Roman" w:cs="Times New Roman"/>
                <w:color w:val="auto"/>
              </w:rPr>
            </w:pPr>
          </w:p>
        </w:tc>
        <w:tc>
          <w:tcPr>
            <w:tcW w:w="979" w:type="dxa"/>
            <w:shd w:val="clear" w:color="auto" w:fill="auto"/>
            <w:vAlign w:val="center"/>
          </w:tcPr>
          <w:p w14:paraId="08E3C4B2">
            <w:pPr>
              <w:pStyle w:val="23"/>
              <w:bidi w:val="0"/>
              <w:jc w:val="center"/>
              <w:rPr>
                <w:rFonts w:hint="default" w:ascii="Times New Roman" w:hAnsi="Times New Roman" w:cs="Times New Roman"/>
                <w:color w:val="auto"/>
              </w:rPr>
            </w:pPr>
          </w:p>
        </w:tc>
        <w:tc>
          <w:tcPr>
            <w:tcW w:w="967" w:type="dxa"/>
            <w:shd w:val="clear" w:color="auto" w:fill="auto"/>
            <w:vAlign w:val="center"/>
          </w:tcPr>
          <w:p w14:paraId="0AE77A6C">
            <w:pPr>
              <w:pStyle w:val="23"/>
              <w:bidi w:val="0"/>
              <w:jc w:val="center"/>
              <w:rPr>
                <w:rFonts w:hint="default" w:ascii="Times New Roman" w:hAnsi="Times New Roman" w:cs="Times New Roman"/>
                <w:color w:val="auto"/>
              </w:rPr>
            </w:pPr>
          </w:p>
        </w:tc>
        <w:tc>
          <w:tcPr>
            <w:tcW w:w="1190" w:type="dxa"/>
            <w:shd w:val="clear" w:color="auto" w:fill="auto"/>
            <w:vAlign w:val="center"/>
          </w:tcPr>
          <w:p w14:paraId="0C57CD37">
            <w:pPr>
              <w:pStyle w:val="23"/>
              <w:bidi w:val="0"/>
              <w:jc w:val="center"/>
              <w:rPr>
                <w:rFonts w:hint="default" w:ascii="Times New Roman" w:hAnsi="Times New Roman" w:cs="Times New Roman"/>
                <w:color w:val="auto"/>
              </w:rPr>
            </w:pPr>
          </w:p>
        </w:tc>
        <w:tc>
          <w:tcPr>
            <w:tcW w:w="1215" w:type="dxa"/>
            <w:shd w:val="clear" w:color="auto" w:fill="auto"/>
            <w:vAlign w:val="center"/>
          </w:tcPr>
          <w:p w14:paraId="789B0510">
            <w:pPr>
              <w:pStyle w:val="23"/>
              <w:bidi w:val="0"/>
              <w:jc w:val="center"/>
              <w:rPr>
                <w:rFonts w:hint="default" w:ascii="Times New Roman" w:hAnsi="Times New Roman" w:cs="Times New Roman"/>
                <w:color w:val="auto"/>
              </w:rPr>
            </w:pPr>
          </w:p>
        </w:tc>
        <w:tc>
          <w:tcPr>
            <w:tcW w:w="1054" w:type="dxa"/>
            <w:shd w:val="clear" w:color="auto" w:fill="auto"/>
            <w:vAlign w:val="center"/>
          </w:tcPr>
          <w:p w14:paraId="64C3E41D">
            <w:pPr>
              <w:pStyle w:val="23"/>
              <w:bidi w:val="0"/>
              <w:jc w:val="center"/>
              <w:rPr>
                <w:rFonts w:hint="default" w:ascii="Times New Roman" w:hAnsi="Times New Roman" w:cs="Times New Roman"/>
                <w:color w:val="auto"/>
              </w:rPr>
            </w:pPr>
          </w:p>
        </w:tc>
        <w:tc>
          <w:tcPr>
            <w:tcW w:w="992" w:type="dxa"/>
            <w:shd w:val="clear" w:color="auto" w:fill="auto"/>
            <w:vAlign w:val="center"/>
          </w:tcPr>
          <w:p w14:paraId="01ED2278">
            <w:pPr>
              <w:pStyle w:val="23"/>
              <w:bidi w:val="0"/>
              <w:jc w:val="center"/>
              <w:rPr>
                <w:rFonts w:hint="default" w:ascii="Times New Roman" w:hAnsi="Times New Roman" w:cs="Times New Roman"/>
                <w:color w:val="auto"/>
              </w:rPr>
            </w:pPr>
          </w:p>
        </w:tc>
        <w:tc>
          <w:tcPr>
            <w:tcW w:w="837" w:type="dxa"/>
            <w:shd w:val="clear" w:color="auto" w:fill="auto"/>
            <w:vAlign w:val="center"/>
          </w:tcPr>
          <w:p w14:paraId="632E11A3">
            <w:pPr>
              <w:pStyle w:val="23"/>
              <w:bidi w:val="0"/>
              <w:jc w:val="center"/>
              <w:rPr>
                <w:rFonts w:hint="default" w:ascii="Times New Roman" w:hAnsi="Times New Roman" w:cs="Times New Roman"/>
                <w:color w:val="auto"/>
                <w:lang w:val="en-US" w:eastAsia="zh-CN"/>
              </w:rPr>
            </w:pPr>
          </w:p>
        </w:tc>
      </w:tr>
      <w:tr w14:paraId="2AD119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1918" w:type="dxa"/>
            <w:gridSpan w:val="2"/>
            <w:shd w:val="clear" w:color="auto" w:fill="auto"/>
            <w:vAlign w:val="center"/>
          </w:tcPr>
          <w:p w14:paraId="0692F30B">
            <w:pPr>
              <w:pStyle w:val="23"/>
              <w:bidi w:val="0"/>
              <w:jc w:val="center"/>
              <w:rPr>
                <w:rFonts w:hint="default" w:ascii="Times New Roman" w:hAnsi="Times New Roman" w:cs="Times New Roman"/>
                <w:color w:val="auto"/>
              </w:rPr>
            </w:pPr>
          </w:p>
        </w:tc>
        <w:tc>
          <w:tcPr>
            <w:tcW w:w="12255" w:type="dxa"/>
            <w:gridSpan w:val="13"/>
            <w:shd w:val="clear" w:color="auto" w:fill="auto"/>
            <w:vAlign w:val="center"/>
          </w:tcPr>
          <w:p w14:paraId="6E7FEAF5">
            <w:pPr>
              <w:pStyle w:val="23"/>
              <w:bidi w:val="0"/>
              <w:jc w:val="center"/>
              <w:rPr>
                <w:rFonts w:hint="default" w:ascii="Times New Roman" w:hAnsi="Times New Roman" w:cs="Times New Roman"/>
                <w:color w:val="auto"/>
                <w:lang w:val="en-US" w:eastAsia="zh-CN"/>
              </w:rPr>
            </w:pPr>
          </w:p>
        </w:tc>
      </w:tr>
    </w:tbl>
    <w:p w14:paraId="624D86A2">
      <w:pPr>
        <w:pStyle w:val="2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表9.2-6 2024年1~9月飞灰固化物二噁英检</w:t>
      </w:r>
      <w:r>
        <w:rPr>
          <w:rFonts w:hint="default" w:ascii="Times New Roman" w:hAnsi="Times New Roman" w:cs="Times New Roman"/>
          <w:color w:val="auto"/>
          <w:highlight w:val="none"/>
        </w:rPr>
        <w:t>测结果</w:t>
      </w:r>
      <w:r>
        <w:rPr>
          <w:rFonts w:hint="default" w:ascii="Times New Roman" w:hAnsi="Times New Roman" w:cs="Times New Roman"/>
          <w:color w:val="auto"/>
          <w:highlight w:val="none"/>
          <w:lang w:val="en-US" w:eastAsia="zh-CN"/>
        </w:rPr>
        <w:t>统计</w:t>
      </w:r>
    </w:p>
    <w:tbl>
      <w:tblPr>
        <w:tblStyle w:val="14"/>
        <w:tblW w:w="1417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7086"/>
        <w:gridCol w:w="7087"/>
      </w:tblGrid>
      <w:tr w14:paraId="2368F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7086" w:type="dxa"/>
            <w:shd w:val="clear" w:color="auto" w:fill="auto"/>
            <w:vAlign w:val="center"/>
          </w:tcPr>
          <w:p w14:paraId="1AF13613">
            <w:pPr>
              <w:pStyle w:val="23"/>
              <w:bidi w:val="0"/>
              <w:rPr>
                <w:rFonts w:hint="default" w:ascii="Times New Roman" w:hAnsi="Times New Roman" w:cs="Times New Roman"/>
                <w:color w:val="auto"/>
                <w:lang w:val="en-US"/>
              </w:rPr>
            </w:pPr>
          </w:p>
        </w:tc>
        <w:tc>
          <w:tcPr>
            <w:tcW w:w="7087" w:type="dxa"/>
            <w:shd w:val="clear" w:color="auto" w:fill="auto"/>
            <w:vAlign w:val="center"/>
          </w:tcPr>
          <w:p w14:paraId="0B855927">
            <w:pPr>
              <w:pStyle w:val="23"/>
              <w:bidi w:val="0"/>
              <w:rPr>
                <w:rFonts w:hint="default" w:ascii="Times New Roman" w:hAnsi="Times New Roman" w:cs="Times New Roman"/>
                <w:color w:val="auto"/>
                <w:lang w:val="en-US" w:eastAsia="zh-CN"/>
              </w:rPr>
            </w:pPr>
          </w:p>
        </w:tc>
      </w:tr>
      <w:tr w14:paraId="4CD957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86" w:type="dxa"/>
            <w:shd w:val="clear" w:color="auto" w:fill="auto"/>
            <w:vAlign w:val="top"/>
          </w:tcPr>
          <w:p w14:paraId="4D5EF8FC">
            <w:pPr>
              <w:pStyle w:val="23"/>
              <w:bidi w:val="0"/>
              <w:rPr>
                <w:rFonts w:hint="default" w:ascii="Times New Roman" w:hAnsi="Times New Roman" w:eastAsia="宋体" w:cs="Times New Roman"/>
                <w:color w:val="auto"/>
                <w:highlight w:val="none"/>
                <w:lang w:val="en-US" w:eastAsia="zh-CN"/>
              </w:rPr>
            </w:pPr>
          </w:p>
        </w:tc>
        <w:tc>
          <w:tcPr>
            <w:tcW w:w="7087" w:type="dxa"/>
            <w:shd w:val="clear" w:color="auto" w:fill="auto"/>
            <w:vAlign w:val="top"/>
          </w:tcPr>
          <w:p w14:paraId="5646CC76">
            <w:pPr>
              <w:pStyle w:val="23"/>
              <w:bidi w:val="0"/>
              <w:rPr>
                <w:rFonts w:hint="default" w:ascii="Times New Roman" w:hAnsi="Times New Roman" w:cs="Times New Roman"/>
                <w:color w:val="auto"/>
                <w:highlight w:val="none"/>
                <w:lang w:val="en-US" w:eastAsia="zh-CN"/>
              </w:rPr>
            </w:pPr>
          </w:p>
        </w:tc>
      </w:tr>
      <w:tr w14:paraId="3FF0E0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7086" w:type="dxa"/>
            <w:shd w:val="clear" w:color="auto" w:fill="auto"/>
            <w:vAlign w:val="top"/>
          </w:tcPr>
          <w:p w14:paraId="02D94FC9">
            <w:pPr>
              <w:pStyle w:val="23"/>
              <w:bidi w:val="0"/>
              <w:rPr>
                <w:rFonts w:hint="default" w:ascii="Times New Roman" w:hAnsi="Times New Roman" w:cs="Times New Roman"/>
                <w:color w:val="auto"/>
                <w:highlight w:val="none"/>
              </w:rPr>
            </w:pPr>
          </w:p>
        </w:tc>
        <w:tc>
          <w:tcPr>
            <w:tcW w:w="7087" w:type="dxa"/>
            <w:shd w:val="clear" w:color="auto" w:fill="auto"/>
            <w:vAlign w:val="top"/>
          </w:tcPr>
          <w:p w14:paraId="205E80B4">
            <w:pPr>
              <w:pStyle w:val="23"/>
              <w:bidi w:val="0"/>
              <w:rPr>
                <w:rFonts w:hint="default" w:ascii="Times New Roman" w:hAnsi="Times New Roman" w:cs="Times New Roman"/>
                <w:color w:val="auto"/>
                <w:highlight w:val="none"/>
                <w:lang w:val="en-US" w:eastAsia="zh-CN"/>
              </w:rPr>
            </w:pPr>
          </w:p>
        </w:tc>
      </w:tr>
      <w:tr w14:paraId="1E19D1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86" w:type="dxa"/>
            <w:shd w:val="clear" w:color="auto" w:fill="auto"/>
            <w:vAlign w:val="top"/>
          </w:tcPr>
          <w:p w14:paraId="2C669449">
            <w:pPr>
              <w:pStyle w:val="23"/>
              <w:bidi w:val="0"/>
              <w:rPr>
                <w:rFonts w:hint="default" w:ascii="Times New Roman" w:hAnsi="Times New Roman" w:cs="Times New Roman"/>
                <w:color w:val="auto"/>
                <w:highlight w:val="none"/>
              </w:rPr>
            </w:pPr>
          </w:p>
        </w:tc>
        <w:tc>
          <w:tcPr>
            <w:tcW w:w="7087" w:type="dxa"/>
            <w:shd w:val="clear" w:color="auto" w:fill="auto"/>
            <w:vAlign w:val="top"/>
          </w:tcPr>
          <w:p w14:paraId="0EB21FDF">
            <w:pPr>
              <w:pStyle w:val="23"/>
              <w:bidi w:val="0"/>
              <w:rPr>
                <w:rFonts w:hint="default" w:ascii="Times New Roman" w:hAnsi="Times New Roman" w:cs="Times New Roman"/>
                <w:color w:val="auto"/>
                <w:highlight w:val="none"/>
                <w:lang w:val="en-US" w:eastAsia="zh-CN"/>
              </w:rPr>
            </w:pPr>
          </w:p>
        </w:tc>
      </w:tr>
      <w:tr w14:paraId="1A449A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7086" w:type="dxa"/>
            <w:shd w:val="clear" w:color="auto" w:fill="auto"/>
            <w:vAlign w:val="center"/>
          </w:tcPr>
          <w:p w14:paraId="12E5E451">
            <w:pPr>
              <w:pStyle w:val="23"/>
              <w:bidi w:val="0"/>
              <w:rPr>
                <w:rFonts w:hint="default" w:ascii="Times New Roman" w:hAnsi="Times New Roman" w:cs="Times New Roman"/>
                <w:color w:val="auto"/>
                <w:highlight w:val="none"/>
              </w:rPr>
            </w:pPr>
          </w:p>
        </w:tc>
        <w:tc>
          <w:tcPr>
            <w:tcW w:w="7087" w:type="dxa"/>
            <w:shd w:val="clear" w:color="auto" w:fill="auto"/>
            <w:vAlign w:val="center"/>
          </w:tcPr>
          <w:p w14:paraId="2E967FF2">
            <w:pPr>
              <w:pStyle w:val="23"/>
              <w:bidi w:val="0"/>
              <w:rPr>
                <w:rFonts w:hint="default" w:ascii="Times New Roman" w:hAnsi="Times New Roman" w:cs="Times New Roman"/>
                <w:color w:val="auto"/>
                <w:highlight w:val="none"/>
                <w:lang w:val="en-US" w:eastAsia="zh-CN"/>
              </w:rPr>
            </w:pPr>
          </w:p>
        </w:tc>
      </w:tr>
      <w:tr w14:paraId="31F255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7086" w:type="dxa"/>
            <w:shd w:val="clear" w:color="auto" w:fill="auto"/>
            <w:vAlign w:val="center"/>
          </w:tcPr>
          <w:p w14:paraId="0C8DFDF2">
            <w:pPr>
              <w:pStyle w:val="23"/>
              <w:bidi w:val="0"/>
              <w:rPr>
                <w:rFonts w:hint="default" w:ascii="Times New Roman" w:hAnsi="Times New Roman" w:cs="Times New Roman"/>
                <w:color w:val="auto"/>
                <w:highlight w:val="none"/>
              </w:rPr>
            </w:pPr>
          </w:p>
        </w:tc>
        <w:tc>
          <w:tcPr>
            <w:tcW w:w="7087" w:type="dxa"/>
            <w:shd w:val="clear" w:color="auto" w:fill="auto"/>
            <w:vAlign w:val="center"/>
          </w:tcPr>
          <w:p w14:paraId="09FD45DA">
            <w:pPr>
              <w:pStyle w:val="23"/>
              <w:bidi w:val="0"/>
              <w:rPr>
                <w:rFonts w:hint="default" w:ascii="Times New Roman" w:hAnsi="Times New Roman" w:cs="Times New Roman"/>
                <w:color w:val="auto"/>
                <w:highlight w:val="none"/>
                <w:lang w:val="en-US" w:eastAsia="zh-CN"/>
              </w:rPr>
            </w:pPr>
          </w:p>
        </w:tc>
      </w:tr>
    </w:tbl>
    <w:p w14:paraId="05754ED0">
      <w:pPr>
        <w:pStyle w:val="23"/>
        <w:bidi w:val="0"/>
        <w:jc w:val="both"/>
        <w:rPr>
          <w:rFonts w:hint="default" w:ascii="Times New Roman" w:hAnsi="Times New Roman" w:cs="Times New Roman"/>
          <w:color w:val="auto"/>
        </w:rPr>
      </w:pPr>
    </w:p>
    <w:p w14:paraId="7A7FBEDA">
      <w:pPr>
        <w:pStyle w:val="21"/>
        <w:bidi w:val="0"/>
        <w:rPr>
          <w:rFonts w:hint="default" w:ascii="Times New Roman" w:hAnsi="Times New Roman" w:cs="Times New Roman"/>
          <w:color w:val="auto"/>
        </w:rPr>
        <w:sectPr>
          <w:pgSz w:w="16841" w:h="11912" w:orient="landscape"/>
          <w:pgMar w:top="1701" w:right="1701" w:bottom="1417" w:left="1701" w:header="1078" w:footer="991" w:gutter="0"/>
          <w:pgNumType w:fmt="decimal"/>
          <w:cols w:space="720" w:num="1"/>
        </w:sectPr>
      </w:pPr>
    </w:p>
    <w:p w14:paraId="7A6622A5">
      <w:pPr>
        <w:pStyle w:val="4"/>
        <w:bidi w:val="0"/>
        <w:rPr>
          <w:rFonts w:hint="default" w:ascii="Times New Roman" w:hAnsi="Times New Roman" w:cs="Times New Roman"/>
          <w:color w:val="auto"/>
        </w:rPr>
      </w:pPr>
      <w:bookmarkStart w:id="67" w:name="_Toc2059"/>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"9.2.1.3" </w:instrText>
      </w:r>
      <w:r>
        <w:rPr>
          <w:rFonts w:hint="default" w:ascii="Times New Roman" w:hAnsi="Times New Roman" w:cs="Times New Roman"/>
          <w:color w:val="auto"/>
        </w:rPr>
        <w:fldChar w:fldCharType="separate"/>
      </w:r>
      <w:r>
        <w:rPr>
          <w:rFonts w:hint="default" w:ascii="Times New Roman" w:hAnsi="Times New Roman" w:cs="Times New Roman"/>
          <w:color w:val="auto"/>
        </w:rPr>
        <w:t>9.2.</w:t>
      </w:r>
      <w:r>
        <w:rPr>
          <w:rFonts w:hint="default" w:ascii="Times New Roman" w:hAnsi="Times New Roman" w:cs="Times New Roman"/>
          <w:color w:val="auto"/>
          <w:lang w:val="en-US" w:eastAsia="zh-CN"/>
        </w:rPr>
        <w:t>2</w:t>
      </w:r>
      <w:r>
        <w:rPr>
          <w:rFonts w:hint="default" w:ascii="Times New Roman" w:hAnsi="Times New Roman" w:cs="Times New Roman"/>
          <w:color w:val="auto"/>
        </w:rPr>
        <w:fldChar w:fldCharType="end"/>
      </w:r>
      <w:r>
        <w:rPr>
          <w:rFonts w:hint="default" w:ascii="Times New Roman" w:hAnsi="Times New Roman" w:cs="Times New Roman"/>
          <w:color w:val="auto"/>
        </w:rPr>
        <w:t>总量控制</w:t>
      </w:r>
      <w:bookmarkEnd w:id="67"/>
    </w:p>
    <w:p w14:paraId="6ED40E55">
      <w:pPr>
        <w:bidi w:val="0"/>
        <w:rPr>
          <w:rFonts w:hint="default" w:ascii="Times New Roman" w:hAnsi="Times New Roman" w:cs="Times New Roman"/>
          <w:color w:val="auto"/>
          <w:lang w:val="en-US" w:eastAsia="zh-CN"/>
        </w:rPr>
      </w:pPr>
      <w:r>
        <w:rPr>
          <w:rFonts w:hint="default" w:ascii="Times New Roman" w:hAnsi="Times New Roman" w:cs="Times New Roman"/>
          <w:color w:val="auto"/>
        </w:rPr>
        <w:t>本</w:t>
      </w:r>
      <w:r>
        <w:rPr>
          <w:rFonts w:hint="default" w:ascii="Times New Roman" w:hAnsi="Times New Roman" w:cs="Times New Roman"/>
          <w:color w:val="auto"/>
          <w:lang w:eastAsia="zh-CN"/>
        </w:rPr>
        <w:t>改扩建</w:t>
      </w:r>
      <w:r>
        <w:rPr>
          <w:rFonts w:hint="default" w:ascii="Times New Roman" w:hAnsi="Times New Roman" w:cs="Times New Roman"/>
          <w:color w:val="auto"/>
        </w:rPr>
        <w:t>项目生活污水经厂区化粪池处理后，通过产业园区的市政污水管网排入福州市洋里污水厂进一步深度处理，最终纳入光明港。根据本项目工程分析的污染物排放情况，</w:t>
      </w:r>
      <w:r>
        <w:rPr>
          <w:rFonts w:hint="default" w:ascii="Times New Roman" w:hAnsi="Times New Roman" w:cs="Times New Roman"/>
          <w:color w:val="auto"/>
          <w:lang w:val="en-US" w:eastAsia="zh-CN"/>
        </w:rPr>
        <w:t>改扩建工程</w:t>
      </w:r>
      <w:r>
        <w:rPr>
          <w:rFonts w:hint="default" w:ascii="Times New Roman" w:hAnsi="Times New Roman" w:cs="Times New Roman"/>
          <w:color w:val="auto"/>
        </w:rPr>
        <w:t>COD、NH</w:t>
      </w:r>
      <w:r>
        <w:rPr>
          <w:rFonts w:hint="default" w:ascii="Times New Roman" w:hAnsi="Times New Roman" w:cs="Times New Roman"/>
          <w:color w:val="auto"/>
          <w:vertAlign w:val="subscript"/>
        </w:rPr>
        <w:t>3</w:t>
      </w:r>
      <w:r>
        <w:rPr>
          <w:rFonts w:hint="default" w:ascii="Times New Roman" w:hAnsi="Times New Roman" w:cs="Times New Roman"/>
          <w:color w:val="auto"/>
        </w:rPr>
        <w:t>-N</w:t>
      </w:r>
      <w:r>
        <w:rPr>
          <w:rFonts w:hint="default" w:ascii="Times New Roman" w:hAnsi="Times New Roman" w:cs="Times New Roman"/>
          <w:color w:val="auto"/>
          <w:lang w:val="en-US" w:eastAsia="zh-CN"/>
        </w:rPr>
        <w:t>未新增</w:t>
      </w:r>
      <w:r>
        <w:rPr>
          <w:rFonts w:hint="default" w:ascii="Times New Roman" w:hAnsi="Times New Roman" w:cs="Times New Roman"/>
          <w:color w:val="auto"/>
        </w:rPr>
        <w:t>排放量。</w:t>
      </w:r>
      <w:r>
        <w:rPr>
          <w:rFonts w:hint="default" w:ascii="Times New Roman" w:hAnsi="Times New Roman" w:cs="Times New Roman"/>
          <w:color w:val="auto"/>
          <w:lang w:val="en-US" w:eastAsia="zh-CN"/>
        </w:rPr>
        <w:t>改扩建完成后全</w:t>
      </w:r>
      <w:r>
        <w:rPr>
          <w:rFonts w:hint="default" w:ascii="Times New Roman" w:hAnsi="Times New Roman" w:cs="Times New Roman"/>
          <w:color w:val="auto"/>
        </w:rPr>
        <w:t>本项目COD最终排放量</w:t>
      </w:r>
      <w:r>
        <w:rPr>
          <w:rFonts w:hint="default" w:ascii="Times New Roman" w:hAnsi="Times New Roman" w:cs="Times New Roman"/>
          <w:color w:val="auto"/>
          <w:lang w:val="en-US" w:eastAsia="zh-CN"/>
        </w:rPr>
        <w:t>仍然</w:t>
      </w:r>
      <w:r>
        <w:rPr>
          <w:rFonts w:hint="default" w:ascii="Times New Roman" w:hAnsi="Times New Roman" w:cs="Times New Roman"/>
          <w:color w:val="auto"/>
        </w:rPr>
        <w:t>为0.025t/a，NH</w:t>
      </w:r>
      <w:r>
        <w:rPr>
          <w:rFonts w:hint="default" w:ascii="Times New Roman" w:hAnsi="Times New Roman" w:cs="Times New Roman"/>
          <w:color w:val="auto"/>
          <w:vertAlign w:val="subscript"/>
        </w:rPr>
        <w:t>3</w:t>
      </w:r>
      <w:r>
        <w:rPr>
          <w:rFonts w:hint="default" w:ascii="Times New Roman" w:hAnsi="Times New Roman" w:cs="Times New Roman"/>
          <w:color w:val="auto"/>
        </w:rPr>
        <w:t>-N最终排放量0.026t/a。</w:t>
      </w:r>
    </w:p>
    <w:p w14:paraId="044DB0DF">
      <w:pPr>
        <w:bidi w:val="0"/>
        <w:rPr>
          <w:rFonts w:hint="default" w:ascii="Times New Roman" w:hAnsi="Times New Roman" w:cs="Times New Roman"/>
          <w:color w:val="auto"/>
        </w:rPr>
      </w:pPr>
      <w:r>
        <w:rPr>
          <w:rFonts w:hint="default" w:ascii="Times New Roman" w:hAnsi="Times New Roman" w:cs="Times New Roman"/>
          <w:color w:val="auto"/>
        </w:rPr>
        <w:t>根据《福建省环保厅关于进一步明确排污权工作有关问题的通知》（闽环保财（2017）22号）</w:t>
      </w:r>
      <w:r>
        <w:rPr>
          <w:rFonts w:hint="eastAsia" w:cs="Times New Roman"/>
          <w:color w:val="auto"/>
          <w:lang w:eastAsia="zh-CN"/>
        </w:rPr>
        <w:t>“</w:t>
      </w:r>
      <w:r>
        <w:rPr>
          <w:rFonts w:hint="default" w:ascii="Times New Roman" w:hAnsi="Times New Roman" w:cs="Times New Roman"/>
          <w:color w:val="auto"/>
        </w:rPr>
        <w:t>现有工业排污单位的水污染物的初始排污权只核定工业废水部分，对单独排入城镇集中污水处理设施的生活污水经说明去向，不核定初始排污权</w:t>
      </w:r>
      <w:r>
        <w:rPr>
          <w:rFonts w:hint="eastAsia" w:cs="Times New Roman"/>
          <w:color w:val="auto"/>
          <w:lang w:eastAsia="zh-CN"/>
        </w:rPr>
        <w:t>”</w:t>
      </w:r>
      <w:r>
        <w:rPr>
          <w:rFonts w:hint="default" w:ascii="Times New Roman" w:hAnsi="Times New Roman" w:cs="Times New Roman"/>
          <w:color w:val="auto"/>
        </w:rPr>
        <w:t>。本项目仅排放生活污水，无需购买总量。项目的特征污染物颗粒物不属于排污权核定因子，无需核定废气初始排污权。</w:t>
      </w:r>
    </w:p>
    <w:p w14:paraId="6C03CD82">
      <w:pPr>
        <w:pStyle w:val="2"/>
        <w:bidi w:val="0"/>
        <w:rPr>
          <w:rFonts w:hint="default" w:ascii="Times New Roman" w:hAnsi="Times New Roman" w:cs="Times New Roman"/>
          <w:color w:val="auto"/>
        </w:rPr>
      </w:pPr>
      <w:bookmarkStart w:id="68" w:name="_Toc25498"/>
      <w:r>
        <w:rPr>
          <w:rFonts w:hint="default" w:ascii="Times New Roman" w:hAnsi="Times New Roman" w:cs="Times New Roman"/>
          <w:color w:val="auto"/>
        </w:rPr>
        <w:t>10验收监测结论</w:t>
      </w:r>
      <w:bookmarkEnd w:id="68"/>
    </w:p>
    <w:p w14:paraId="420249FF">
      <w:pPr>
        <w:pStyle w:val="3"/>
        <w:bidi w:val="0"/>
        <w:rPr>
          <w:rFonts w:hint="default" w:ascii="Times New Roman" w:hAnsi="Times New Roman" w:cs="Times New Roman"/>
          <w:color w:val="auto"/>
        </w:rPr>
      </w:pPr>
      <w:bookmarkStart w:id="69" w:name="_Toc4086"/>
      <w:r>
        <w:rPr>
          <w:rFonts w:hint="default" w:ascii="Times New Roman" w:hAnsi="Times New Roman" w:cs="Times New Roman"/>
          <w:color w:val="auto"/>
        </w:rPr>
        <w:t>10.1环保设施调试运行效果</w:t>
      </w:r>
      <w:bookmarkEnd w:id="69"/>
    </w:p>
    <w:p w14:paraId="62EE425D">
      <w:pPr>
        <w:pStyle w:val="4"/>
        <w:bidi w:val="0"/>
        <w:rPr>
          <w:rFonts w:hint="default" w:ascii="Times New Roman" w:hAnsi="Times New Roman" w:cs="Times New Roman"/>
          <w:color w:val="auto"/>
        </w:rPr>
      </w:pPr>
      <w:bookmarkStart w:id="70" w:name="_Toc15416"/>
      <w:r>
        <w:rPr>
          <w:rFonts w:hint="default" w:ascii="Times New Roman" w:hAnsi="Times New Roman" w:cs="Times New Roman"/>
          <w:color w:val="auto"/>
        </w:rPr>
        <w:t>10.1.1污染物排放监测结果</w:t>
      </w:r>
      <w:bookmarkEnd w:id="70"/>
    </w:p>
    <w:p w14:paraId="41999D8A">
      <w:pPr>
        <w:bidi w:val="0"/>
        <w:rPr>
          <w:rFonts w:hint="default" w:ascii="Times New Roman" w:hAnsi="Times New Roman" w:cs="Times New Roman"/>
          <w:color w:val="auto"/>
        </w:rPr>
      </w:pPr>
      <w:r>
        <w:rPr>
          <w:rFonts w:hint="default" w:ascii="Times New Roman" w:hAnsi="Times New Roman" w:cs="Times New Roman"/>
          <w:color w:val="auto"/>
        </w:rPr>
        <w:t>（1）废气</w:t>
      </w:r>
    </w:p>
    <w:p w14:paraId="3D2523B5">
      <w:pPr>
        <w:bidi w:val="0"/>
        <w:rPr>
          <w:rFonts w:hint="default" w:ascii="Times New Roman" w:hAnsi="Times New Roman" w:cs="Times New Roman"/>
          <w:color w:val="auto"/>
        </w:rPr>
      </w:pPr>
      <w:r>
        <w:rPr>
          <w:rFonts w:hint="default" w:ascii="Times New Roman" w:hAnsi="Times New Roman" w:cs="Times New Roman"/>
          <w:color w:val="auto"/>
        </w:rPr>
        <w:t>接收与贮存</w:t>
      </w:r>
      <w:r>
        <w:rPr>
          <w:rFonts w:hint="default" w:ascii="Times New Roman" w:hAnsi="Times New Roman" w:cs="Times New Roman"/>
          <w:color w:val="auto"/>
          <w:lang w:eastAsia="zh-CN"/>
        </w:rPr>
        <w:t>、</w:t>
      </w:r>
      <w:r>
        <w:rPr>
          <w:rFonts w:hint="default" w:ascii="Times New Roman" w:hAnsi="Times New Roman" w:cs="Times New Roman"/>
          <w:color w:val="auto"/>
        </w:rPr>
        <w:t>稳定化预处理车间</w:t>
      </w:r>
      <w:r>
        <w:rPr>
          <w:rFonts w:hint="default" w:ascii="Times New Roman" w:hAnsi="Times New Roman" w:cs="Times New Roman"/>
          <w:color w:val="auto"/>
          <w:lang w:val="en-US" w:eastAsia="zh-CN"/>
        </w:rPr>
        <w:t>产生颗粒物经密闭管道输送至布袋除尘设施处理后引至1#线排气筒DA001（高度25m）共同排放，</w:t>
      </w:r>
      <w:r>
        <w:rPr>
          <w:rFonts w:hint="default" w:ascii="Times New Roman" w:hAnsi="Times New Roman" w:cs="Times New Roman"/>
          <w:color w:val="auto"/>
        </w:rPr>
        <w:t>不合格飞灰固化物</w:t>
      </w:r>
      <w:r>
        <w:rPr>
          <w:rFonts w:hint="default" w:ascii="Times New Roman" w:hAnsi="Times New Roman" w:cs="Times New Roman"/>
          <w:color w:val="auto"/>
          <w:lang w:val="en-US" w:eastAsia="zh-CN"/>
        </w:rPr>
        <w:t>破碎</w:t>
      </w:r>
      <w:r>
        <w:rPr>
          <w:rFonts w:hint="default" w:ascii="Times New Roman" w:hAnsi="Times New Roman" w:cs="Times New Roman"/>
          <w:color w:val="auto"/>
        </w:rPr>
        <w:t>粉尘经过破碎机配套一体收尘管道收集后进入单独布袋除尘器处理</w:t>
      </w:r>
      <w:r>
        <w:rPr>
          <w:rFonts w:hint="default" w:ascii="Times New Roman" w:hAnsi="Times New Roman" w:cs="Times New Roman"/>
          <w:color w:val="auto"/>
          <w:lang w:val="en-US" w:eastAsia="zh-CN"/>
        </w:rPr>
        <w:t>后引至1#线排气筒DA001（高度25m）共同排放</w:t>
      </w:r>
      <w:r>
        <w:rPr>
          <w:rFonts w:hint="default" w:ascii="Times New Roman" w:hAnsi="Times New Roman" w:cs="Times New Roman"/>
          <w:color w:val="auto"/>
        </w:rPr>
        <w:t>。</w:t>
      </w:r>
    </w:p>
    <w:p w14:paraId="53CED952">
      <w:pPr>
        <w:bidi w:val="0"/>
        <w:rPr>
          <w:rFonts w:hint="default" w:ascii="Times New Roman" w:hAnsi="Times New Roman" w:cs="Times New Roman"/>
          <w:color w:val="auto"/>
        </w:rPr>
      </w:pPr>
      <w:r>
        <w:rPr>
          <w:rFonts w:hint="default" w:ascii="Times New Roman" w:hAnsi="Times New Roman" w:cs="Times New Roman"/>
          <w:color w:val="auto"/>
        </w:rPr>
        <w:t>验收监测期间，颗粒物</w:t>
      </w:r>
      <w:r>
        <w:rPr>
          <w:rFonts w:hint="default" w:ascii="Times New Roman" w:hAnsi="Times New Roman" w:cs="Times New Roman"/>
          <w:color w:val="auto"/>
          <w:lang w:val="en-US" w:eastAsia="zh-CN"/>
        </w:rPr>
        <w:t>有组织</w:t>
      </w:r>
      <w:r>
        <w:rPr>
          <w:rFonts w:hint="default" w:ascii="Times New Roman" w:hAnsi="Times New Roman" w:cs="Times New Roman"/>
          <w:color w:val="auto"/>
        </w:rPr>
        <w:t>排放浓度</w:t>
      </w:r>
      <w:r>
        <w:rPr>
          <w:rFonts w:hint="default" w:ascii="Times New Roman" w:hAnsi="Times New Roman" w:cs="Times New Roman"/>
          <w:color w:val="auto"/>
          <w:lang w:val="en-US" w:eastAsia="zh-CN"/>
        </w:rPr>
        <w:t>及速率</w:t>
      </w:r>
      <w:r>
        <w:rPr>
          <w:rFonts w:hint="default" w:ascii="Times New Roman" w:hAnsi="Times New Roman" w:cs="Times New Roman"/>
          <w:color w:val="auto"/>
        </w:rPr>
        <w:t>满足《大气污染物综合排放标准（</w:t>
      </w:r>
      <w:r>
        <w:rPr>
          <w:rFonts w:hint="eastAsia" w:ascii="Times New Roman" w:hAnsi="Times New Roman" w:cs="Times New Roman"/>
          <w:color w:val="auto"/>
          <w:lang w:eastAsia="zh-CN"/>
        </w:rPr>
        <w:t>GB16297—1996</w:t>
      </w:r>
      <w:r>
        <w:rPr>
          <w:rFonts w:hint="default" w:ascii="Times New Roman" w:hAnsi="Times New Roman" w:cs="Times New Roman"/>
          <w:color w:val="auto"/>
        </w:rPr>
        <w:t>）》中表2中相关标准</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即颗粒物最高允许排放浓度≤120mg/m³，最高排放速率≤14.45kg/h；</w:t>
      </w:r>
      <w:r>
        <w:rPr>
          <w:rFonts w:hint="default" w:ascii="Times New Roman" w:hAnsi="Times New Roman" w:cs="Times New Roman"/>
          <w:color w:val="auto"/>
        </w:rPr>
        <w:t>颗粒物</w:t>
      </w:r>
      <w:r>
        <w:rPr>
          <w:rFonts w:hint="default" w:ascii="Times New Roman" w:hAnsi="Times New Roman" w:cs="Times New Roman"/>
          <w:color w:val="auto"/>
          <w:lang w:val="en-US" w:eastAsia="zh-CN"/>
        </w:rPr>
        <w:t>无组织</w:t>
      </w:r>
      <w:r>
        <w:rPr>
          <w:rFonts w:hint="default" w:ascii="Times New Roman" w:hAnsi="Times New Roman" w:cs="Times New Roman"/>
          <w:color w:val="auto"/>
        </w:rPr>
        <w:t>排放浓度满足《大气污染物综合排放标准（</w:t>
      </w:r>
      <w:r>
        <w:rPr>
          <w:rFonts w:hint="eastAsia" w:ascii="Times New Roman" w:hAnsi="Times New Roman" w:cs="Times New Roman"/>
          <w:color w:val="auto"/>
          <w:lang w:eastAsia="zh-CN"/>
        </w:rPr>
        <w:t>GB16297—1996</w:t>
      </w:r>
      <w:r>
        <w:rPr>
          <w:rFonts w:hint="default" w:ascii="Times New Roman" w:hAnsi="Times New Roman" w:cs="Times New Roman"/>
          <w:color w:val="auto"/>
        </w:rPr>
        <w:t>）》中表2中相关标准</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即颗粒物最高允许排放浓度≤1mg/m³</w:t>
      </w:r>
      <w:r>
        <w:rPr>
          <w:rFonts w:hint="default" w:ascii="Times New Roman" w:hAnsi="Times New Roman" w:cs="Times New Roman"/>
          <w:color w:val="auto"/>
        </w:rPr>
        <w:t>。</w:t>
      </w:r>
    </w:p>
    <w:p w14:paraId="4DE301C5">
      <w:pPr>
        <w:bidi w:val="0"/>
        <w:rPr>
          <w:rFonts w:hint="default" w:ascii="Times New Roman" w:hAnsi="Times New Roman" w:cs="Times New Roman"/>
          <w:color w:val="auto"/>
        </w:rPr>
      </w:pPr>
      <w:r>
        <w:rPr>
          <w:rFonts w:hint="default" w:ascii="Times New Roman" w:hAnsi="Times New Roman" w:cs="Times New Roman"/>
          <w:color w:val="auto"/>
        </w:rPr>
        <w:t>（2）废水</w:t>
      </w:r>
    </w:p>
    <w:p w14:paraId="5D730DF8">
      <w:pPr>
        <w:bidi w:val="0"/>
        <w:rPr>
          <w:rFonts w:hint="default" w:ascii="Times New Roman" w:hAnsi="Times New Roman" w:cs="Times New Roman"/>
          <w:color w:val="auto"/>
        </w:rPr>
      </w:pPr>
      <w:r>
        <w:rPr>
          <w:rFonts w:hint="default" w:ascii="Times New Roman" w:hAnsi="Times New Roman" w:cs="Times New Roman"/>
          <w:color w:val="auto"/>
        </w:rPr>
        <w:t>地面及洗车台冲洗污水等生产废水由厂区内沟槽收集回用于生产工艺中；生活污水经化粪池处理达到《污水综合排放标准》（GB8978</w:t>
      </w:r>
      <w:r>
        <w:rPr>
          <w:rFonts w:hint="eastAsia" w:ascii="Times New Roman" w:hAnsi="Times New Roman" w:cs="Times New Roman"/>
          <w:color w:val="auto"/>
          <w:lang w:eastAsia="zh-CN"/>
        </w:rPr>
        <w:t>—</w:t>
      </w:r>
      <w:r>
        <w:rPr>
          <w:rFonts w:hint="default" w:ascii="Times New Roman" w:hAnsi="Times New Roman" w:cs="Times New Roman"/>
          <w:color w:val="auto"/>
        </w:rPr>
        <w:t>1996）的三级排放标准后通过红庙岭循环经济产业园区的市政污水管网纳入福州市洋里污水处理厂。</w:t>
      </w:r>
    </w:p>
    <w:p w14:paraId="60338B83">
      <w:pPr>
        <w:bidi w:val="0"/>
        <w:rPr>
          <w:rFonts w:hint="default" w:ascii="Times New Roman" w:hAnsi="Times New Roman" w:cs="Times New Roman"/>
          <w:color w:val="auto"/>
        </w:rPr>
      </w:pPr>
      <w:r>
        <w:rPr>
          <w:rFonts w:hint="default" w:ascii="Times New Roman" w:hAnsi="Times New Roman" w:cs="Times New Roman"/>
          <w:color w:val="auto"/>
        </w:rPr>
        <w:t>（3）噪声</w:t>
      </w:r>
    </w:p>
    <w:p w14:paraId="7BBE8DD5">
      <w:pPr>
        <w:bidi w:val="0"/>
        <w:rPr>
          <w:rFonts w:hint="default" w:ascii="Times New Roman" w:hAnsi="Times New Roman" w:cs="Times New Roman"/>
          <w:color w:val="auto"/>
        </w:rPr>
      </w:pPr>
      <w:r>
        <w:rPr>
          <w:rFonts w:hint="default" w:ascii="Times New Roman" w:hAnsi="Times New Roman" w:cs="Times New Roman"/>
          <w:color w:val="auto"/>
        </w:rPr>
        <w:t>本项目通过选用低噪声设备，并对各设备安装隔声减振措施，做到减少噪声的产生和</w:t>
      </w:r>
      <w:r>
        <w:rPr>
          <w:rFonts w:hint="default" w:ascii="Times New Roman" w:hAnsi="Times New Roman" w:cs="Times New Roman"/>
          <w:color w:val="auto"/>
          <w:lang w:val="en-US" w:eastAsia="zh-CN"/>
        </w:rPr>
        <w:t>传</w:t>
      </w:r>
      <w:r>
        <w:rPr>
          <w:rFonts w:hint="default" w:ascii="Times New Roman" w:hAnsi="Times New Roman" w:cs="Times New Roman"/>
          <w:color w:val="auto"/>
        </w:rPr>
        <w:t>播后，厂界噪声可满足《工业企业厂界环境噪声排放标准》（GB12348</w:t>
      </w:r>
      <w:r>
        <w:rPr>
          <w:rFonts w:hint="eastAsia" w:ascii="Times New Roman" w:hAnsi="Times New Roman" w:cs="Times New Roman"/>
          <w:color w:val="auto"/>
          <w:lang w:eastAsia="zh-CN"/>
        </w:rPr>
        <w:t>—</w:t>
      </w:r>
      <w:r>
        <w:rPr>
          <w:rFonts w:hint="default" w:ascii="Times New Roman" w:hAnsi="Times New Roman" w:cs="Times New Roman"/>
          <w:color w:val="auto"/>
        </w:rPr>
        <w:t>2008）2类标准要求。</w:t>
      </w:r>
    </w:p>
    <w:p w14:paraId="27B4BFC4">
      <w:pPr>
        <w:bidi w:val="0"/>
        <w:rPr>
          <w:rFonts w:hint="default" w:ascii="Times New Roman" w:hAnsi="Times New Roman" w:cs="Times New Roman"/>
          <w:color w:val="auto"/>
        </w:rPr>
      </w:pPr>
      <w:r>
        <w:rPr>
          <w:rFonts w:hint="default" w:ascii="Times New Roman" w:hAnsi="Times New Roman" w:cs="Times New Roman"/>
          <w:color w:val="auto"/>
          <w:lang w:val="en-US" w:eastAsia="zh-CN"/>
        </w:rPr>
        <w:t>（4）固体废物</w:t>
      </w:r>
    </w:p>
    <w:p w14:paraId="657284A4">
      <w:pPr>
        <w:bidi w:val="0"/>
        <w:rPr>
          <w:rFonts w:hint="default" w:ascii="Times New Roman" w:hAnsi="Times New Roman" w:cs="Times New Roman"/>
          <w:color w:val="auto"/>
        </w:rPr>
      </w:pPr>
      <w:r>
        <w:rPr>
          <w:rFonts w:hint="default" w:ascii="Times New Roman" w:hAnsi="Times New Roman" w:cs="Times New Roman"/>
          <w:color w:val="auto"/>
          <w:kern w:val="1"/>
          <w:u w:val="none"/>
          <w:lang w:val="en-US" w:eastAsia="zh-CN"/>
        </w:rPr>
        <w:t>项目</w:t>
      </w:r>
      <w:r>
        <w:rPr>
          <w:rFonts w:hint="default" w:ascii="Times New Roman" w:hAnsi="Times New Roman" w:cs="Times New Roman"/>
          <w:color w:val="auto"/>
          <w:kern w:val="1"/>
          <w:u w:val="none"/>
        </w:rPr>
        <w:t>一般工业固体废物的贮存</w:t>
      </w:r>
      <w:r>
        <w:rPr>
          <w:rFonts w:hint="default" w:ascii="Times New Roman" w:hAnsi="Times New Roman" w:cs="Times New Roman"/>
          <w:color w:val="auto"/>
          <w:kern w:val="1"/>
          <w:u w:val="none"/>
          <w:lang w:val="en-US" w:eastAsia="zh-CN"/>
        </w:rPr>
        <w:t>满足</w:t>
      </w:r>
      <w:r>
        <w:rPr>
          <w:rFonts w:hint="default" w:ascii="Times New Roman" w:hAnsi="Times New Roman" w:cs="Times New Roman"/>
          <w:color w:val="auto"/>
          <w:kern w:val="1"/>
          <w:u w:val="none"/>
        </w:rPr>
        <w:t>《一般工业固</w:t>
      </w:r>
      <w:r>
        <w:rPr>
          <w:rFonts w:hint="default" w:ascii="Times New Roman" w:hAnsi="Times New Roman" w:cs="Times New Roman"/>
          <w:color w:val="auto"/>
          <w:kern w:val="1"/>
          <w:highlight w:val="none"/>
          <w:u w:val="none"/>
        </w:rPr>
        <w:t>体废物贮存和填埋污染控制标准》（GB18599-2020）</w:t>
      </w:r>
      <w:r>
        <w:rPr>
          <w:rFonts w:hint="default" w:ascii="Times New Roman" w:hAnsi="Times New Roman" w:cs="Times New Roman"/>
          <w:color w:val="auto"/>
          <w:kern w:val="1"/>
          <w:highlight w:val="none"/>
          <w:u w:val="none"/>
          <w:lang w:val="en-US" w:eastAsia="zh-CN"/>
        </w:rPr>
        <w:t>要求</w:t>
      </w:r>
      <w:r>
        <w:rPr>
          <w:rFonts w:hint="default" w:ascii="Times New Roman" w:hAnsi="Times New Roman" w:cs="Times New Roman"/>
          <w:color w:val="auto"/>
          <w:kern w:val="1"/>
          <w:highlight w:val="none"/>
          <w:u w:val="none"/>
        </w:rPr>
        <w:t>；危险废物的贮存</w:t>
      </w:r>
      <w:r>
        <w:rPr>
          <w:rFonts w:hint="default" w:ascii="Times New Roman" w:hAnsi="Times New Roman" w:cs="Times New Roman"/>
          <w:color w:val="auto"/>
          <w:kern w:val="1"/>
          <w:highlight w:val="none"/>
          <w:u w:val="none"/>
          <w:lang w:val="en-US" w:eastAsia="zh-CN"/>
        </w:rPr>
        <w:t>满足</w:t>
      </w:r>
      <w:r>
        <w:rPr>
          <w:rFonts w:hint="default" w:ascii="Times New Roman" w:hAnsi="Times New Roman" w:cs="Times New Roman"/>
          <w:color w:val="auto"/>
          <w:kern w:val="1"/>
          <w:highlight w:val="none"/>
          <w:u w:val="none"/>
        </w:rPr>
        <w:t>《危险废物贮存污染控制标准》（GB18597-20</w:t>
      </w:r>
      <w:r>
        <w:rPr>
          <w:rFonts w:hint="default" w:ascii="Times New Roman" w:hAnsi="Times New Roman" w:cs="Times New Roman"/>
          <w:color w:val="auto"/>
          <w:kern w:val="1"/>
          <w:highlight w:val="none"/>
          <w:u w:val="none"/>
          <w:lang w:val="en-US" w:eastAsia="zh-CN"/>
        </w:rPr>
        <w:t>23</w:t>
      </w:r>
      <w:r>
        <w:rPr>
          <w:rFonts w:hint="default" w:ascii="Times New Roman" w:hAnsi="Times New Roman" w:cs="Times New Roman"/>
          <w:color w:val="auto"/>
          <w:kern w:val="1"/>
          <w:highlight w:val="none"/>
          <w:u w:val="none"/>
        </w:rPr>
        <w:t>）</w:t>
      </w:r>
      <w:r>
        <w:rPr>
          <w:rFonts w:hint="default" w:ascii="Times New Roman" w:hAnsi="Times New Roman" w:cs="Times New Roman"/>
          <w:color w:val="auto"/>
          <w:kern w:val="1"/>
          <w:highlight w:val="none"/>
          <w:u w:val="none"/>
          <w:lang w:val="en-US" w:eastAsia="zh-CN"/>
        </w:rPr>
        <w:t>要求</w:t>
      </w:r>
      <w:r>
        <w:rPr>
          <w:rFonts w:hint="default" w:ascii="Times New Roman" w:hAnsi="Times New Roman" w:cs="Times New Roman"/>
          <w:color w:val="auto"/>
          <w:kern w:val="1"/>
          <w:highlight w:val="none"/>
          <w:u w:val="none"/>
        </w:rPr>
        <w:t>；</w:t>
      </w:r>
      <w:r>
        <w:rPr>
          <w:rFonts w:hint="eastAsia" w:cs="Times New Roman"/>
          <w:color w:val="auto"/>
          <w:lang w:val="en-US" w:eastAsia="zh-CN"/>
        </w:rPr>
        <w:t>飞灰处理过程满足</w:t>
      </w:r>
      <w:r>
        <w:rPr>
          <w:rFonts w:hint="default" w:ascii="Times New Roman" w:hAnsi="Times New Roman" w:cs="Times New Roman"/>
          <w:color w:val="auto"/>
        </w:rPr>
        <w:t>《生活垃圾焚烧飞灰固化稳定化处理技术标准》</w:t>
      </w:r>
      <w:r>
        <w:rPr>
          <w:rFonts w:hint="default" w:ascii="Times New Roman" w:hAnsi="Times New Roman" w:cs="Times New Roman"/>
          <w:color w:val="auto"/>
          <w:lang w:eastAsia="zh-CN"/>
        </w:rPr>
        <w:t>（CJJ/T316-2023）</w:t>
      </w:r>
      <w:r>
        <w:rPr>
          <w:rFonts w:hint="eastAsia" w:cs="Times New Roman"/>
          <w:color w:val="auto"/>
          <w:lang w:eastAsia="zh-CN"/>
        </w:rPr>
        <w:t>的</w:t>
      </w:r>
      <w:r>
        <w:rPr>
          <w:rFonts w:hint="eastAsia" w:cs="Times New Roman"/>
          <w:color w:val="auto"/>
          <w:lang w:val="en-US" w:eastAsia="zh-CN"/>
        </w:rPr>
        <w:t>要求；</w:t>
      </w:r>
      <w:r>
        <w:rPr>
          <w:rFonts w:hint="default" w:ascii="Times New Roman" w:hAnsi="Times New Roman" w:cs="Times New Roman"/>
          <w:color w:val="auto"/>
          <w:kern w:val="1"/>
          <w:highlight w:val="none"/>
          <w:u w:val="none"/>
        </w:rPr>
        <w:t>经处理后的飞灰</w:t>
      </w:r>
      <w:r>
        <w:rPr>
          <w:rFonts w:hint="default" w:ascii="Times New Roman" w:hAnsi="Times New Roman" w:cs="Times New Roman"/>
          <w:color w:val="auto"/>
          <w:kern w:val="1"/>
          <w:highlight w:val="none"/>
          <w:u w:val="none"/>
          <w:lang w:val="en-US" w:eastAsia="zh-CN"/>
        </w:rPr>
        <w:t>产物</w:t>
      </w:r>
      <w:r>
        <w:rPr>
          <w:rFonts w:hint="default" w:ascii="Times New Roman" w:hAnsi="Times New Roman" w:cs="Times New Roman"/>
          <w:color w:val="auto"/>
          <w:kern w:val="1"/>
          <w:highlight w:val="none"/>
          <w:u w:val="none"/>
        </w:rPr>
        <w:t>满足《生活垃圾填埋场污染控制标准》（</w:t>
      </w:r>
      <w:r>
        <w:rPr>
          <w:rFonts w:hint="default" w:ascii="Times New Roman" w:hAnsi="Times New Roman" w:cs="Times New Roman"/>
          <w:color w:val="auto"/>
          <w:kern w:val="1"/>
          <w:highlight w:val="none"/>
          <w:u w:val="none"/>
          <w:lang w:eastAsia="zh-CN"/>
        </w:rPr>
        <w:t>GB16889-2024</w:t>
      </w:r>
      <w:r>
        <w:rPr>
          <w:rFonts w:hint="default" w:ascii="Times New Roman" w:hAnsi="Times New Roman" w:cs="Times New Roman"/>
          <w:color w:val="auto"/>
          <w:kern w:val="1"/>
          <w:highlight w:val="none"/>
          <w:u w:val="none"/>
        </w:rPr>
        <w:t>）的要求</w:t>
      </w:r>
      <w:r>
        <w:rPr>
          <w:rFonts w:hint="default" w:ascii="Times New Roman" w:hAnsi="Times New Roman" w:cs="Times New Roman"/>
          <w:color w:val="auto"/>
          <w:kern w:val="1"/>
          <w:highlight w:val="none"/>
          <w:u w:val="none"/>
          <w:lang w:eastAsia="zh-CN"/>
        </w:rPr>
        <w:t>；</w:t>
      </w:r>
      <w:r>
        <w:rPr>
          <w:rFonts w:hint="default" w:ascii="Times New Roman" w:hAnsi="Times New Roman" w:cs="Times New Roman"/>
          <w:color w:val="auto"/>
          <w:kern w:val="1"/>
          <w:u w:val="none"/>
        </w:rPr>
        <w:t>飞灰固化处理后的产物满足《生活垃圾焚烧飞灰污染控制技术规范(试行)》（HJ1134-2020）中的相关要求</w:t>
      </w:r>
      <w:r>
        <w:rPr>
          <w:rFonts w:hint="default" w:ascii="Times New Roman" w:hAnsi="Times New Roman" w:cs="Times New Roman"/>
          <w:color w:val="auto"/>
          <w:kern w:val="1"/>
          <w:u w:val="none"/>
          <w:lang w:eastAsia="zh-CN"/>
        </w:rPr>
        <w:t>。</w:t>
      </w:r>
      <w:r>
        <w:rPr>
          <w:rFonts w:hint="default" w:ascii="Times New Roman" w:hAnsi="Times New Roman" w:cs="Times New Roman"/>
          <w:color w:val="auto"/>
        </w:rPr>
        <w:t>固体废物均可得到合理的处置，不会产生二次污染，</w:t>
      </w:r>
      <w:r>
        <w:rPr>
          <w:rFonts w:hint="eastAsia" w:cs="Times New Roman"/>
          <w:color w:val="auto"/>
          <w:lang w:val="en-US" w:eastAsia="zh-CN"/>
        </w:rPr>
        <w:t>且已按照相关规定开展日常检测，</w:t>
      </w:r>
      <w:r>
        <w:rPr>
          <w:rFonts w:hint="default" w:ascii="Times New Roman" w:hAnsi="Times New Roman" w:cs="Times New Roman"/>
          <w:color w:val="auto"/>
        </w:rPr>
        <w:t>固体废物处置方案可行。</w:t>
      </w:r>
    </w:p>
    <w:p w14:paraId="72D07A12">
      <w:pPr>
        <w:bidi w:val="0"/>
        <w:rPr>
          <w:rFonts w:hint="default" w:ascii="Times New Roman" w:hAnsi="Times New Roman" w:cs="Times New Roman"/>
          <w:color w:val="auto"/>
        </w:rPr>
      </w:pPr>
      <w:r>
        <w:rPr>
          <w:rFonts w:hint="default" w:ascii="Times New Roman" w:hAnsi="Times New Roman" w:cs="Times New Roman"/>
          <w:color w:val="auto"/>
          <w:lang w:val="en-US" w:eastAsia="zh-CN"/>
        </w:rPr>
        <w:t>（5）污染物排放总量</w:t>
      </w:r>
    </w:p>
    <w:p w14:paraId="4911A914">
      <w:pPr>
        <w:bidi w:val="0"/>
        <w:rPr>
          <w:rFonts w:hint="default" w:ascii="Times New Roman" w:hAnsi="Times New Roman" w:cs="Times New Roman"/>
          <w:color w:val="auto"/>
        </w:rPr>
      </w:pPr>
      <w:r>
        <w:rPr>
          <w:rFonts w:hint="default" w:ascii="Times New Roman" w:hAnsi="Times New Roman" w:cs="Times New Roman"/>
          <w:color w:val="auto"/>
        </w:rPr>
        <w:t>根据《福建省环保厅关于进一步明确排污权工作有关问题的通知》（闽环保财（2017）22号）</w:t>
      </w:r>
      <w:r>
        <w:rPr>
          <w:rFonts w:hint="eastAsia" w:cs="Times New Roman"/>
          <w:color w:val="auto"/>
          <w:lang w:eastAsia="zh-CN"/>
        </w:rPr>
        <w:t>“</w:t>
      </w:r>
      <w:r>
        <w:rPr>
          <w:rFonts w:hint="default" w:ascii="Times New Roman" w:hAnsi="Times New Roman" w:cs="Times New Roman"/>
          <w:color w:val="auto"/>
        </w:rPr>
        <w:t>现有工业排污单位的水污染物的初始排污权只核定工业废水部分，对单独排入城镇集中污水处理设施的生活污水经说明去向，不核定初始排污权</w:t>
      </w:r>
      <w:r>
        <w:rPr>
          <w:rFonts w:hint="eastAsia" w:cs="Times New Roman"/>
          <w:color w:val="auto"/>
          <w:lang w:eastAsia="zh-CN"/>
        </w:rPr>
        <w:t>”</w:t>
      </w:r>
      <w:r>
        <w:rPr>
          <w:rFonts w:hint="default" w:ascii="Times New Roman" w:hAnsi="Times New Roman" w:cs="Times New Roman"/>
          <w:color w:val="auto"/>
        </w:rPr>
        <w:t>。本项目仅排放生活污水，无需购买总量。项目的特征污染物颗粒物不属于排污权核定因子，无需核定废气初始排污权。</w:t>
      </w:r>
    </w:p>
    <w:p w14:paraId="32CDF5BE">
      <w:pPr>
        <w:pStyle w:val="3"/>
        <w:bidi w:val="0"/>
        <w:rPr>
          <w:rFonts w:hint="default" w:ascii="Times New Roman" w:hAnsi="Times New Roman" w:cs="Times New Roman"/>
          <w:color w:val="auto"/>
        </w:rPr>
      </w:pPr>
      <w:bookmarkStart w:id="71" w:name="_Toc6176"/>
      <w:r>
        <w:rPr>
          <w:rFonts w:hint="default" w:ascii="Times New Roman" w:hAnsi="Times New Roman" w:cs="Times New Roman"/>
          <w:color w:val="auto"/>
        </w:rPr>
        <w:t>10.</w:t>
      </w:r>
      <w:r>
        <w:rPr>
          <w:rFonts w:hint="default" w:ascii="Times New Roman" w:hAnsi="Times New Roman" w:cs="Times New Roman"/>
          <w:color w:val="auto"/>
          <w:lang w:val="en-US" w:eastAsia="zh-CN"/>
        </w:rPr>
        <w:t>2</w:t>
      </w:r>
      <w:r>
        <w:rPr>
          <w:rFonts w:hint="default" w:ascii="Times New Roman" w:hAnsi="Times New Roman" w:cs="Times New Roman"/>
          <w:color w:val="auto"/>
        </w:rPr>
        <w:t>总体结论</w:t>
      </w:r>
      <w:bookmarkEnd w:id="71"/>
    </w:p>
    <w:p w14:paraId="0E4D8AD6">
      <w:pPr>
        <w:bidi w:val="0"/>
        <w:rPr>
          <w:rFonts w:hint="default" w:ascii="Times New Roman" w:hAnsi="Times New Roman" w:cs="Times New Roman"/>
          <w:color w:val="auto"/>
        </w:rPr>
      </w:pPr>
      <w:r>
        <w:rPr>
          <w:rFonts w:hint="default" w:ascii="Times New Roman" w:hAnsi="Times New Roman" w:cs="Times New Roman"/>
          <w:color w:val="auto"/>
        </w:rPr>
        <w:t>通过现场检查、资料查阅和监测，项目环保审批手续及环保档案资料齐全，建立了环境管理规章制度。项目环保设施及环境管理措施按环评及批复要求落实，各环保设施运行正常，验收监测期间各类污染物均达标排放。</w:t>
      </w:r>
    </w:p>
    <w:p w14:paraId="77FECD54">
      <w:pPr>
        <w:pStyle w:val="3"/>
        <w:bidi w:val="0"/>
        <w:rPr>
          <w:rFonts w:hint="default" w:ascii="Times New Roman" w:hAnsi="Times New Roman" w:cs="Times New Roman"/>
          <w:color w:val="auto"/>
        </w:rPr>
      </w:pPr>
      <w:bookmarkStart w:id="72" w:name="_Toc17481"/>
      <w:r>
        <w:rPr>
          <w:rFonts w:hint="default" w:ascii="Times New Roman" w:hAnsi="Times New Roman" w:cs="Times New Roman"/>
          <w:color w:val="auto"/>
        </w:rPr>
        <w:t>10.</w:t>
      </w:r>
      <w:r>
        <w:rPr>
          <w:rFonts w:hint="default" w:ascii="Times New Roman" w:hAnsi="Times New Roman" w:cs="Times New Roman"/>
          <w:color w:val="auto"/>
          <w:lang w:val="en-US" w:eastAsia="zh-CN"/>
        </w:rPr>
        <w:t>3</w:t>
      </w:r>
      <w:r>
        <w:rPr>
          <w:rFonts w:hint="default" w:ascii="Times New Roman" w:hAnsi="Times New Roman" w:cs="Times New Roman"/>
          <w:color w:val="auto"/>
        </w:rPr>
        <w:t>建议与要求</w:t>
      </w:r>
      <w:bookmarkEnd w:id="72"/>
    </w:p>
    <w:p w14:paraId="306F4CD9">
      <w:pPr>
        <w:bidi w:val="0"/>
        <w:rPr>
          <w:rFonts w:hint="default" w:ascii="Times New Roman" w:hAnsi="Times New Roman" w:cs="Times New Roman"/>
          <w:color w:val="auto"/>
        </w:rPr>
      </w:pPr>
      <w:r>
        <w:rPr>
          <w:rFonts w:hint="default" w:ascii="Times New Roman" w:hAnsi="Times New Roman" w:cs="Times New Roman"/>
          <w:color w:val="auto"/>
        </w:rPr>
        <w:t>（1）加强各项环保设施的日常管理，保证环保设施正常运行，确保各类污染物长期稳定达标排放。</w:t>
      </w:r>
    </w:p>
    <w:p w14:paraId="215851A8">
      <w:pPr>
        <w:bidi w:val="0"/>
        <w:rPr>
          <w:rFonts w:hint="default"/>
          <w:color w:val="auto"/>
        </w:rPr>
      </w:pPr>
      <w:r>
        <w:rPr>
          <w:rFonts w:hint="default"/>
          <w:color w:val="auto"/>
        </w:rPr>
        <w:t>（2）严格执行危险废物转移许可证和转移联单制度。</w:t>
      </w:r>
    </w:p>
    <w:p w14:paraId="1501E59E">
      <w:pPr>
        <w:bidi w:val="0"/>
        <w:rPr>
          <w:rFonts w:hint="default" w:ascii="Times New Roman" w:hAnsi="Times New Roman" w:cs="Times New Roman"/>
          <w:color w:val="auto"/>
        </w:rPr>
      </w:pPr>
      <w:r>
        <w:rPr>
          <w:rFonts w:hint="default" w:ascii="Times New Roman" w:hAnsi="Times New Roman" w:cs="Times New Roman"/>
          <w:color w:val="auto"/>
        </w:rPr>
        <w:t>（3）加强应急实战演练预防突发事故发生。</w:t>
      </w:r>
    </w:p>
    <w:p w14:paraId="6711DA5B">
      <w:pPr>
        <w:bidi w:val="0"/>
        <w:rPr>
          <w:rFonts w:hint="default" w:eastAsia="宋体"/>
          <w:color w:val="auto"/>
          <w:lang w:val="en-US" w:eastAsia="zh-CN"/>
        </w:rPr>
      </w:pPr>
      <w:r>
        <w:rPr>
          <w:rFonts w:hint="eastAsia"/>
          <w:color w:val="auto"/>
          <w:lang w:eastAsia="zh-CN"/>
        </w:rPr>
        <w:t>（</w:t>
      </w:r>
      <w:r>
        <w:rPr>
          <w:rFonts w:hint="eastAsia"/>
          <w:color w:val="auto"/>
          <w:lang w:val="en-US" w:eastAsia="zh-CN"/>
        </w:rPr>
        <w:t>4</w:t>
      </w:r>
      <w:r>
        <w:rPr>
          <w:rFonts w:hint="eastAsia"/>
          <w:color w:val="auto"/>
          <w:lang w:eastAsia="zh-CN"/>
        </w:rPr>
        <w:t>）</w:t>
      </w:r>
      <w:r>
        <w:rPr>
          <w:rFonts w:hint="eastAsia"/>
          <w:color w:val="auto"/>
          <w:lang w:val="en-US" w:eastAsia="zh-CN"/>
        </w:rPr>
        <w:t>根据</w:t>
      </w:r>
      <w:r>
        <w:rPr>
          <w:rFonts w:hint="default" w:ascii="Times New Roman" w:hAnsi="Times New Roman" w:cs="Times New Roman"/>
          <w:color w:val="auto"/>
        </w:rPr>
        <w:t>《生活垃圾焚烧飞灰固化稳定化处理技术标准》</w:t>
      </w:r>
      <w:r>
        <w:rPr>
          <w:rFonts w:hint="default" w:ascii="Times New Roman" w:hAnsi="Times New Roman" w:cs="Times New Roman"/>
          <w:color w:val="auto"/>
          <w:lang w:eastAsia="zh-CN"/>
        </w:rPr>
        <w:t>（CJJ/T316-2023）</w:t>
      </w:r>
      <w:r>
        <w:rPr>
          <w:rFonts w:hint="eastAsia" w:ascii="Times New Roman" w:hAnsi="Times New Roman" w:cs="Times New Roman"/>
          <w:color w:val="auto"/>
          <w:lang w:val="en-US" w:eastAsia="zh-CN"/>
        </w:rPr>
        <w:t>及</w:t>
      </w:r>
      <w:r>
        <w:rPr>
          <w:rFonts w:hint="default" w:ascii="Times New Roman" w:hAnsi="Times New Roman" w:cs="Times New Roman"/>
          <w:color w:val="auto"/>
          <w:kern w:val="1"/>
          <w:u w:val="none"/>
        </w:rPr>
        <w:t>《生活垃圾焚烧飞灰污染控制技术规范(试行)》（HJ1134-2020）</w:t>
      </w:r>
      <w:r>
        <w:rPr>
          <w:rFonts w:hint="eastAsia" w:ascii="Times New Roman" w:hAnsi="Times New Roman" w:cs="Times New Roman"/>
          <w:color w:val="auto"/>
          <w:kern w:val="1"/>
          <w:u w:val="none"/>
          <w:lang w:val="en-US" w:eastAsia="zh-CN"/>
        </w:rPr>
        <w:t>规范日常检测，</w:t>
      </w:r>
      <w:r>
        <w:rPr>
          <w:rFonts w:hint="eastAsia" w:ascii="Times New Roman" w:hAnsi="Times New Roman" w:cs="Times New Roman"/>
          <w:color w:val="auto"/>
          <w:kern w:val="1"/>
          <w:u w:val="none"/>
          <w:lang w:val="en-US" w:eastAsia="zh-CN"/>
        </w:rPr>
        <w:t>且在飞灰处理车间配套安装除臭设施。</w:t>
      </w:r>
    </w:p>
    <w:p w14:paraId="731A650D">
      <w:pPr>
        <w:keepNext w:val="0"/>
        <w:keepLines w:val="0"/>
        <w:pageBreakBefore w:val="0"/>
        <w:widowControl/>
        <w:kinsoku w:val="0"/>
        <w:wordWrap/>
        <w:overflowPunct/>
        <w:topLinePunct w:val="0"/>
        <w:autoSpaceDE/>
        <w:autoSpaceDN/>
        <w:bidi w:val="0"/>
        <w:adjustRightInd w:val="0"/>
        <w:snapToGrid w:val="0"/>
        <w:spacing w:line="240" w:lineRule="auto"/>
        <w:ind w:left="0" w:firstLine="0" w:firstLineChars="0"/>
        <w:jc w:val="center"/>
        <w:textAlignment w:val="baseline"/>
        <w:outlineLvl w:val="0"/>
        <w:rPr>
          <w:rFonts w:hint="default" w:ascii="Times New Roman" w:hAnsi="Times New Roman" w:eastAsia="宋体" w:cs="Times New Roman"/>
          <w:color w:val="auto"/>
          <w:sz w:val="21"/>
          <w:szCs w:val="21"/>
          <w14:textOutline w14:w="5442" w14:cap="flat" w14:cmpd="sng">
            <w14:solidFill>
              <w14:srgbClr w14:val="000000"/>
            </w14:solidFill>
            <w14:prstDash w14:val="solid"/>
            <w14:miter w14:val="0"/>
          </w14:textOutline>
        </w:rPr>
        <w:sectPr>
          <w:headerReference r:id="rId18" w:type="default"/>
          <w:footerReference r:id="rId19" w:type="default"/>
          <w:pgSz w:w="11912" w:h="16841"/>
          <w:pgMar w:top="1134" w:right="1134" w:bottom="1134" w:left="1134" w:header="1078" w:footer="1121" w:gutter="0"/>
          <w:pgNumType w:fmt="decimal"/>
          <w:cols w:space="720" w:num="1"/>
        </w:sectPr>
      </w:pPr>
    </w:p>
    <w:p w14:paraId="1C40E9B3">
      <w:pPr>
        <w:keepNext w:val="0"/>
        <w:keepLines w:val="0"/>
        <w:pageBreakBefore w:val="0"/>
        <w:widowControl/>
        <w:kinsoku w:val="0"/>
        <w:wordWrap/>
        <w:overflowPunct/>
        <w:topLinePunct w:val="0"/>
        <w:autoSpaceDE/>
        <w:autoSpaceDN/>
        <w:bidi w:val="0"/>
        <w:adjustRightInd w:val="0"/>
        <w:snapToGrid w:val="0"/>
        <w:spacing w:line="240" w:lineRule="auto"/>
        <w:ind w:left="0" w:firstLine="0" w:firstLineChars="0"/>
        <w:jc w:val="center"/>
        <w:textAlignment w:val="baseline"/>
        <w:outlineLvl w:val="0"/>
        <w:rPr>
          <w:rFonts w:hint="default" w:ascii="Times New Roman" w:hAnsi="Times New Roman" w:eastAsia="宋体" w:cs="Times New Roman"/>
          <w:color w:val="auto"/>
          <w:spacing w:val="-1"/>
          <w:sz w:val="21"/>
          <w:szCs w:val="21"/>
          <w14:textOutline w14:w="5442" w14:cap="flat" w14:cmpd="sng">
            <w14:solidFill>
              <w14:srgbClr w14:val="000000"/>
            </w14:solidFill>
            <w14:prstDash w14:val="solid"/>
            <w14:miter w14:val="0"/>
          </w14:textOutline>
        </w:rPr>
      </w:pPr>
      <w:bookmarkStart w:id="73" w:name="_Toc6749"/>
      <w:r>
        <w:rPr>
          <w:rFonts w:hint="default" w:ascii="Times New Roman" w:hAnsi="Times New Roman" w:eastAsia="宋体" w:cs="Times New Roman"/>
          <w:color w:val="auto"/>
          <w:sz w:val="21"/>
          <w:szCs w:val="21"/>
          <w14:textOutline w14:w="5442" w14:cap="flat" w14:cmpd="sng">
            <w14:solidFill>
              <w14:srgbClr w14:val="000000"/>
            </w14:solidFill>
            <w14:prstDash w14:val="solid"/>
            <w14:miter w14:val="0"/>
          </w14:textOutline>
        </w:rPr>
        <w:t>建设项目竣工环境保护</w:t>
      </w:r>
      <w:r>
        <w:rPr>
          <w:rFonts w:hint="eastAsia" w:eastAsia="宋体" w:cs="Times New Roman"/>
          <w:b/>
          <w:bCs/>
          <w:color w:val="auto"/>
          <w:sz w:val="21"/>
          <w:szCs w:val="21"/>
          <w:lang w:eastAsia="zh-CN"/>
        </w:rPr>
        <w:t>“</w:t>
      </w:r>
      <w:r>
        <w:rPr>
          <w:rFonts w:hint="default" w:ascii="Times New Roman" w:hAnsi="Times New Roman" w:eastAsia="宋体" w:cs="Times New Roman"/>
          <w:color w:val="auto"/>
          <w:sz w:val="21"/>
          <w:szCs w:val="21"/>
          <w14:textOutline w14:w="5442" w14:cap="flat" w14:cmpd="sng">
            <w14:solidFill>
              <w14:srgbClr w14:val="000000"/>
            </w14:solidFill>
            <w14:prstDash w14:val="solid"/>
            <w14:miter w14:val="0"/>
          </w14:textOutline>
        </w:rPr>
        <w:t>三同时</w:t>
      </w:r>
      <w:r>
        <w:rPr>
          <w:rFonts w:hint="eastAsia" w:eastAsia="宋体" w:cs="Times New Roman"/>
          <w:b/>
          <w:bCs/>
          <w:color w:val="auto"/>
          <w:sz w:val="21"/>
          <w:szCs w:val="21"/>
          <w:lang w:eastAsia="zh-CN"/>
        </w:rPr>
        <w:t>”</w:t>
      </w:r>
      <w:r>
        <w:rPr>
          <w:rFonts w:hint="default" w:ascii="Times New Roman" w:hAnsi="Times New Roman" w:eastAsia="宋体" w:cs="Times New Roman"/>
          <w:color w:val="auto"/>
          <w:sz w:val="21"/>
          <w:szCs w:val="21"/>
          <w14:textOutline w14:w="5442" w14:cap="flat" w14:cmpd="sng">
            <w14:solidFill>
              <w14:srgbClr w14:val="000000"/>
            </w14:solidFill>
            <w14:prstDash w14:val="solid"/>
            <w14:miter w14:val="0"/>
          </w14:textOutline>
        </w:rPr>
        <w:t>验收登</w:t>
      </w:r>
      <w:r>
        <w:rPr>
          <w:rFonts w:hint="default" w:ascii="Times New Roman" w:hAnsi="Times New Roman" w:eastAsia="宋体" w:cs="Times New Roman"/>
          <w:color w:val="auto"/>
          <w:spacing w:val="-1"/>
          <w:sz w:val="21"/>
          <w:szCs w:val="21"/>
          <w14:textOutline w14:w="5442" w14:cap="flat" w14:cmpd="sng">
            <w14:solidFill>
              <w14:srgbClr w14:val="000000"/>
            </w14:solidFill>
            <w14:prstDash w14:val="solid"/>
            <w14:miter w14:val="0"/>
          </w14:textOutline>
        </w:rPr>
        <w:t>记表</w:t>
      </w:r>
      <w:bookmarkEnd w:id="73"/>
    </w:p>
    <w:p w14:paraId="5EB9EF83">
      <w:pPr>
        <w:keepNext w:val="0"/>
        <w:keepLines w:val="0"/>
        <w:pageBreakBefore w:val="0"/>
        <w:widowControl/>
        <w:kinsoku/>
        <w:wordWrap/>
        <w:overflowPunct/>
        <w:topLinePunct w:val="0"/>
        <w:autoSpaceDE/>
        <w:autoSpaceDN/>
        <w:bidi w:val="0"/>
        <w:adjustRightInd w:val="0"/>
        <w:snapToGrid w:val="0"/>
        <w:spacing w:after="0" w:afterLines="0" w:line="240" w:lineRule="auto"/>
        <w:ind w:firstLine="0" w:firstLineChars="0"/>
        <w:jc w:val="left"/>
        <w:textAlignment w:val="auto"/>
        <w:rPr>
          <w:rFonts w:ascii="宋体" w:hAnsi="宋体" w:eastAsia="宋体" w:cs="Times New Roman"/>
          <w:b/>
          <w:snapToGrid/>
          <w:color w:val="auto"/>
          <w:kern w:val="0"/>
          <w:sz w:val="21"/>
          <w:szCs w:val="21"/>
          <w:lang w:eastAsia="zh-CN"/>
        </w:rPr>
      </w:pPr>
      <w:r>
        <w:rPr>
          <w:rFonts w:ascii="宋体" w:hAnsi="宋体" w:eastAsia="宋体" w:cs="Times New Roman"/>
          <w:b/>
          <w:snapToGrid/>
          <w:color w:val="auto"/>
          <w:kern w:val="0"/>
          <w:sz w:val="21"/>
          <w:szCs w:val="21"/>
          <w:lang w:eastAsia="zh-CN"/>
        </w:rPr>
        <w:t>填表单位（盖章）</w:t>
      </w:r>
      <w:r>
        <w:rPr>
          <w:rFonts w:ascii="宋体" w:hAnsi="宋体" w:eastAsia="宋体" w:cs="Times New Roman"/>
          <w:b/>
          <w:snapToGrid/>
          <w:color w:val="auto"/>
          <w:kern w:val="2"/>
          <w:sz w:val="21"/>
          <w:szCs w:val="21"/>
          <w:lang w:eastAsia="zh-CN"/>
        </w:rPr>
        <w:t>：</w:t>
      </w:r>
      <w:r>
        <w:rPr>
          <w:rFonts w:hint="default" w:ascii="宋体" w:hAnsi="宋体" w:eastAsia="宋体" w:cs="Times New Roman"/>
          <w:b w:val="0"/>
          <w:bCs/>
          <w:snapToGrid/>
          <w:color w:val="auto"/>
          <w:kern w:val="0"/>
          <w:sz w:val="21"/>
          <w:szCs w:val="21"/>
          <w:lang w:val="en-US" w:eastAsia="zh-CN"/>
        </w:rPr>
        <w:t>福州市大新飞灰处理有限公司</w:t>
      </w:r>
      <w:r>
        <w:rPr>
          <w:rFonts w:ascii="宋体" w:hAnsi="宋体" w:eastAsia="宋体" w:cs="Times New Roman"/>
          <w:b/>
          <w:snapToGrid/>
          <w:color w:val="auto"/>
          <w:kern w:val="0"/>
          <w:sz w:val="21"/>
          <w:szCs w:val="21"/>
          <w:lang w:eastAsia="zh-CN"/>
        </w:rPr>
        <w:t xml:space="preserve">    </w:t>
      </w:r>
      <w:r>
        <w:rPr>
          <w:rFonts w:hint="eastAsia" w:ascii="宋体" w:hAnsi="宋体" w:eastAsia="宋体" w:cs="Times New Roman"/>
          <w:b/>
          <w:snapToGrid/>
          <w:color w:val="auto"/>
          <w:kern w:val="0"/>
          <w:sz w:val="21"/>
          <w:szCs w:val="21"/>
          <w:lang w:val="en-US" w:eastAsia="zh-CN"/>
        </w:rPr>
        <w:t xml:space="preserve">  </w:t>
      </w:r>
      <w:r>
        <w:rPr>
          <w:rFonts w:ascii="宋体" w:hAnsi="宋体" w:eastAsia="宋体" w:cs="Times New Roman"/>
          <w:b/>
          <w:snapToGrid/>
          <w:color w:val="auto"/>
          <w:kern w:val="0"/>
          <w:sz w:val="21"/>
          <w:szCs w:val="21"/>
          <w:lang w:eastAsia="zh-CN"/>
        </w:rPr>
        <w:t xml:space="preserve">        填表人（签字）：                        项目经办人（签字）：</w:t>
      </w:r>
    </w:p>
    <w:tbl>
      <w:tblPr>
        <w:tblStyle w:val="14"/>
        <w:tblW w:w="1587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30"/>
        <w:gridCol w:w="168"/>
        <w:gridCol w:w="1228"/>
        <w:gridCol w:w="568"/>
        <w:gridCol w:w="828"/>
        <w:gridCol w:w="1379"/>
        <w:gridCol w:w="1097"/>
        <w:gridCol w:w="987"/>
        <w:gridCol w:w="6"/>
        <w:gridCol w:w="511"/>
        <w:gridCol w:w="588"/>
        <w:gridCol w:w="1137"/>
        <w:gridCol w:w="1189"/>
        <w:gridCol w:w="1730"/>
        <w:gridCol w:w="890"/>
        <w:gridCol w:w="598"/>
        <w:gridCol w:w="646"/>
        <w:gridCol w:w="320"/>
        <w:gridCol w:w="782"/>
        <w:gridCol w:w="794"/>
      </w:tblGrid>
      <w:tr w14:paraId="5E9734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430" w:type="dxa"/>
            <w:vMerge w:val="restart"/>
            <w:noWrap w:val="0"/>
            <w:tcMar>
              <w:left w:w="57" w:type="dxa"/>
              <w:right w:w="57" w:type="dxa"/>
            </w:tcMar>
            <w:textDirection w:val="tbRlV"/>
            <w:vAlign w:val="center"/>
          </w:tcPr>
          <w:p w14:paraId="410F40C8">
            <w:pPr>
              <w:kinsoku/>
              <w:autoSpaceDE/>
              <w:autoSpaceDN/>
              <w:spacing w:after="0" w:afterLines="0" w:line="240" w:lineRule="auto"/>
              <w:ind w:left="113" w:right="113" w:firstLine="0" w:firstLineChars="0"/>
              <w:jc w:val="center"/>
              <w:textAlignment w:val="auto"/>
              <w:rPr>
                <w:rFonts w:ascii="Tahoma" w:hAnsi="Tahoma" w:eastAsia="微软雅黑" w:cs="Times New Roman"/>
                <w:b/>
                <w:snapToGrid/>
                <w:color w:val="auto"/>
                <w:kern w:val="2"/>
                <w:sz w:val="15"/>
                <w:szCs w:val="15"/>
                <w:lang w:eastAsia="zh-CN"/>
              </w:rPr>
            </w:pPr>
            <w:bookmarkStart w:id="76" w:name="_GoBack"/>
            <w:bookmarkEnd w:id="76"/>
          </w:p>
        </w:tc>
        <w:tc>
          <w:tcPr>
            <w:tcW w:w="1964" w:type="dxa"/>
            <w:gridSpan w:val="3"/>
            <w:noWrap w:val="0"/>
            <w:tcMar>
              <w:left w:w="57" w:type="dxa"/>
              <w:right w:w="57" w:type="dxa"/>
            </w:tcMar>
            <w:vAlign w:val="center"/>
          </w:tcPr>
          <w:p w14:paraId="37BCFB8C">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5396" w:type="dxa"/>
            <w:gridSpan w:val="7"/>
            <w:noWrap w:val="0"/>
            <w:tcMar>
              <w:left w:w="57" w:type="dxa"/>
              <w:right w:w="57" w:type="dxa"/>
            </w:tcMar>
            <w:vAlign w:val="center"/>
          </w:tcPr>
          <w:p w14:paraId="568FF011">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2326" w:type="dxa"/>
            <w:gridSpan w:val="2"/>
            <w:noWrap w:val="0"/>
            <w:tcMar>
              <w:left w:w="57" w:type="dxa"/>
              <w:right w:w="57" w:type="dxa"/>
            </w:tcMar>
            <w:vAlign w:val="center"/>
          </w:tcPr>
          <w:p w14:paraId="7A47DB1C">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730" w:type="dxa"/>
            <w:noWrap w:val="0"/>
            <w:tcMar>
              <w:left w:w="57" w:type="dxa"/>
              <w:right w:w="57" w:type="dxa"/>
            </w:tcMar>
            <w:vAlign w:val="center"/>
          </w:tcPr>
          <w:p w14:paraId="4CDF0993">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488" w:type="dxa"/>
            <w:gridSpan w:val="2"/>
            <w:noWrap w:val="0"/>
            <w:tcMar>
              <w:left w:w="57" w:type="dxa"/>
              <w:right w:w="57" w:type="dxa"/>
            </w:tcMar>
            <w:vAlign w:val="center"/>
          </w:tcPr>
          <w:p w14:paraId="4FB41A2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2542" w:type="dxa"/>
            <w:gridSpan w:val="4"/>
            <w:noWrap w:val="0"/>
            <w:tcMar>
              <w:left w:w="57" w:type="dxa"/>
              <w:right w:w="57" w:type="dxa"/>
            </w:tcMar>
            <w:vAlign w:val="center"/>
          </w:tcPr>
          <w:p w14:paraId="3163C70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6CE7C4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430" w:type="dxa"/>
            <w:vMerge w:val="continue"/>
            <w:noWrap w:val="0"/>
            <w:tcMar>
              <w:left w:w="57" w:type="dxa"/>
              <w:right w:w="57" w:type="dxa"/>
            </w:tcMar>
            <w:vAlign w:val="center"/>
          </w:tcPr>
          <w:p w14:paraId="27E7822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964" w:type="dxa"/>
            <w:gridSpan w:val="3"/>
            <w:noWrap w:val="0"/>
            <w:tcMar>
              <w:left w:w="57" w:type="dxa"/>
              <w:right w:w="57" w:type="dxa"/>
            </w:tcMar>
            <w:vAlign w:val="center"/>
          </w:tcPr>
          <w:p w14:paraId="0618876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5396" w:type="dxa"/>
            <w:gridSpan w:val="7"/>
            <w:noWrap w:val="0"/>
            <w:tcMar>
              <w:left w:w="57" w:type="dxa"/>
              <w:right w:w="57" w:type="dxa"/>
            </w:tcMar>
            <w:vAlign w:val="center"/>
          </w:tcPr>
          <w:p w14:paraId="09B09B7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2326" w:type="dxa"/>
            <w:gridSpan w:val="2"/>
            <w:noWrap w:val="0"/>
            <w:tcMar>
              <w:left w:w="57" w:type="dxa"/>
              <w:right w:w="57" w:type="dxa"/>
            </w:tcMar>
            <w:vAlign w:val="center"/>
          </w:tcPr>
          <w:p w14:paraId="7EB38BE8">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3218" w:type="dxa"/>
            <w:gridSpan w:val="3"/>
            <w:noWrap w:val="0"/>
            <w:tcMar>
              <w:left w:w="57" w:type="dxa"/>
              <w:right w:w="57" w:type="dxa"/>
            </w:tcMar>
            <w:vAlign w:val="center"/>
          </w:tcPr>
          <w:p w14:paraId="6A79DEA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66" w:type="dxa"/>
            <w:gridSpan w:val="2"/>
            <w:noWrap w:val="0"/>
            <w:tcMar>
              <w:left w:w="57" w:type="dxa"/>
              <w:right w:w="57" w:type="dxa"/>
            </w:tcMar>
            <w:vAlign w:val="center"/>
          </w:tcPr>
          <w:p w14:paraId="59D2C8C3">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576" w:type="dxa"/>
            <w:gridSpan w:val="2"/>
            <w:noWrap w:val="0"/>
            <w:tcMar>
              <w:left w:w="57" w:type="dxa"/>
              <w:right w:w="57" w:type="dxa"/>
            </w:tcMar>
            <w:vAlign w:val="center"/>
          </w:tcPr>
          <w:p w14:paraId="222EDE4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05B374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430" w:type="dxa"/>
            <w:vMerge w:val="continue"/>
            <w:noWrap w:val="0"/>
            <w:tcMar>
              <w:left w:w="57" w:type="dxa"/>
              <w:right w:w="57" w:type="dxa"/>
            </w:tcMar>
            <w:vAlign w:val="center"/>
          </w:tcPr>
          <w:p w14:paraId="3C089F71">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964" w:type="dxa"/>
            <w:gridSpan w:val="3"/>
            <w:noWrap w:val="0"/>
            <w:tcMar>
              <w:left w:w="57" w:type="dxa"/>
              <w:right w:w="57" w:type="dxa"/>
            </w:tcMar>
            <w:vAlign w:val="center"/>
          </w:tcPr>
          <w:p w14:paraId="43C4B6C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5396" w:type="dxa"/>
            <w:gridSpan w:val="7"/>
            <w:noWrap w:val="0"/>
            <w:tcMar>
              <w:left w:w="57" w:type="dxa"/>
              <w:right w:w="57" w:type="dxa"/>
            </w:tcMar>
            <w:vAlign w:val="center"/>
          </w:tcPr>
          <w:p w14:paraId="7DE9A63E">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2326" w:type="dxa"/>
            <w:gridSpan w:val="2"/>
            <w:noWrap w:val="0"/>
            <w:tcMar>
              <w:left w:w="57" w:type="dxa"/>
              <w:right w:w="57" w:type="dxa"/>
            </w:tcMar>
            <w:vAlign w:val="center"/>
          </w:tcPr>
          <w:p w14:paraId="5425465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0F893F52">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488" w:type="dxa"/>
            <w:gridSpan w:val="2"/>
            <w:noWrap w:val="0"/>
            <w:tcMar>
              <w:left w:w="57" w:type="dxa"/>
              <w:right w:w="57" w:type="dxa"/>
            </w:tcMar>
            <w:vAlign w:val="center"/>
          </w:tcPr>
          <w:p w14:paraId="1EFF798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2542" w:type="dxa"/>
            <w:gridSpan w:val="4"/>
            <w:noWrap w:val="0"/>
            <w:tcMar>
              <w:left w:w="57" w:type="dxa"/>
              <w:right w:w="57" w:type="dxa"/>
            </w:tcMar>
            <w:vAlign w:val="center"/>
          </w:tcPr>
          <w:p w14:paraId="1F3E4C8C">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222A4E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430" w:type="dxa"/>
            <w:vMerge w:val="continue"/>
            <w:noWrap w:val="0"/>
            <w:tcMar>
              <w:left w:w="57" w:type="dxa"/>
              <w:right w:w="57" w:type="dxa"/>
            </w:tcMar>
            <w:vAlign w:val="center"/>
          </w:tcPr>
          <w:p w14:paraId="4971C9AF">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964" w:type="dxa"/>
            <w:gridSpan w:val="3"/>
            <w:noWrap w:val="0"/>
            <w:tcMar>
              <w:left w:w="57" w:type="dxa"/>
              <w:right w:w="57" w:type="dxa"/>
            </w:tcMar>
            <w:vAlign w:val="center"/>
          </w:tcPr>
          <w:p w14:paraId="47C1F648">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5396" w:type="dxa"/>
            <w:gridSpan w:val="7"/>
            <w:noWrap w:val="0"/>
            <w:tcMar>
              <w:left w:w="57" w:type="dxa"/>
              <w:right w:w="57" w:type="dxa"/>
            </w:tcMar>
            <w:vAlign w:val="center"/>
          </w:tcPr>
          <w:p w14:paraId="49333B6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2326" w:type="dxa"/>
            <w:gridSpan w:val="2"/>
            <w:noWrap w:val="0"/>
            <w:tcMar>
              <w:left w:w="57" w:type="dxa"/>
              <w:right w:w="57" w:type="dxa"/>
            </w:tcMar>
            <w:vAlign w:val="center"/>
          </w:tcPr>
          <w:p w14:paraId="10A9FDEB">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730" w:type="dxa"/>
            <w:noWrap w:val="0"/>
            <w:tcMar>
              <w:left w:w="57" w:type="dxa"/>
              <w:right w:w="57" w:type="dxa"/>
            </w:tcMar>
            <w:vAlign w:val="center"/>
          </w:tcPr>
          <w:p w14:paraId="355CF03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488" w:type="dxa"/>
            <w:gridSpan w:val="2"/>
            <w:noWrap w:val="0"/>
            <w:tcMar>
              <w:left w:w="57" w:type="dxa"/>
              <w:right w:w="57" w:type="dxa"/>
            </w:tcMar>
            <w:vAlign w:val="center"/>
          </w:tcPr>
          <w:p w14:paraId="3ABF8581">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2542" w:type="dxa"/>
            <w:gridSpan w:val="4"/>
            <w:noWrap w:val="0"/>
            <w:tcMar>
              <w:left w:w="57" w:type="dxa"/>
              <w:right w:w="57" w:type="dxa"/>
            </w:tcMar>
            <w:vAlign w:val="center"/>
          </w:tcPr>
          <w:p w14:paraId="0A784CCE">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40C739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430" w:type="dxa"/>
            <w:vMerge w:val="continue"/>
            <w:noWrap w:val="0"/>
            <w:tcMar>
              <w:left w:w="57" w:type="dxa"/>
              <w:right w:w="57" w:type="dxa"/>
            </w:tcMar>
            <w:vAlign w:val="center"/>
          </w:tcPr>
          <w:p w14:paraId="21ACAF4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964" w:type="dxa"/>
            <w:gridSpan w:val="3"/>
            <w:noWrap w:val="0"/>
            <w:tcMar>
              <w:left w:w="57" w:type="dxa"/>
              <w:right w:w="57" w:type="dxa"/>
            </w:tcMar>
            <w:vAlign w:val="center"/>
          </w:tcPr>
          <w:p w14:paraId="2649732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5396" w:type="dxa"/>
            <w:gridSpan w:val="7"/>
            <w:noWrap w:val="0"/>
            <w:tcMar>
              <w:left w:w="57" w:type="dxa"/>
              <w:right w:w="57" w:type="dxa"/>
            </w:tcMar>
            <w:vAlign w:val="center"/>
          </w:tcPr>
          <w:p w14:paraId="335B19C0">
            <w:pPr>
              <w:kinsoku/>
              <w:autoSpaceDE/>
              <w:autoSpaceDN/>
              <w:spacing w:after="0" w:afterLines="0" w:line="240" w:lineRule="auto"/>
              <w:ind w:firstLine="0" w:firstLineChars="0"/>
              <w:jc w:val="center"/>
              <w:textAlignment w:val="auto"/>
              <w:rPr>
                <w:rFonts w:hint="default" w:ascii="Tahoma" w:hAnsi="Tahoma" w:eastAsia="微软雅黑" w:cs="Times New Roman"/>
                <w:snapToGrid/>
                <w:color w:val="auto"/>
                <w:kern w:val="2"/>
                <w:sz w:val="15"/>
                <w:szCs w:val="15"/>
                <w:lang w:val="en-US" w:eastAsia="zh-CN"/>
              </w:rPr>
            </w:pPr>
          </w:p>
        </w:tc>
        <w:tc>
          <w:tcPr>
            <w:tcW w:w="2326" w:type="dxa"/>
            <w:gridSpan w:val="2"/>
            <w:noWrap w:val="0"/>
            <w:tcMar>
              <w:left w:w="57" w:type="dxa"/>
              <w:right w:w="57" w:type="dxa"/>
            </w:tcMar>
            <w:vAlign w:val="center"/>
          </w:tcPr>
          <w:p w14:paraId="52905BCE">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730" w:type="dxa"/>
            <w:noWrap w:val="0"/>
            <w:tcMar>
              <w:left w:w="57" w:type="dxa"/>
              <w:right w:w="57" w:type="dxa"/>
            </w:tcMar>
            <w:vAlign w:val="center"/>
          </w:tcPr>
          <w:p w14:paraId="689A547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488" w:type="dxa"/>
            <w:gridSpan w:val="2"/>
            <w:noWrap w:val="0"/>
            <w:tcMar>
              <w:left w:w="57" w:type="dxa"/>
              <w:right w:w="57" w:type="dxa"/>
            </w:tcMar>
            <w:vAlign w:val="center"/>
          </w:tcPr>
          <w:p w14:paraId="78F74976">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2542" w:type="dxa"/>
            <w:gridSpan w:val="4"/>
            <w:noWrap w:val="0"/>
            <w:tcMar>
              <w:left w:w="57" w:type="dxa"/>
              <w:right w:w="57" w:type="dxa"/>
            </w:tcMar>
            <w:vAlign w:val="center"/>
          </w:tcPr>
          <w:p w14:paraId="5EBCB201">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03FA9E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430" w:type="dxa"/>
            <w:vMerge w:val="continue"/>
            <w:noWrap w:val="0"/>
            <w:tcMar>
              <w:left w:w="57" w:type="dxa"/>
              <w:right w:w="57" w:type="dxa"/>
            </w:tcMar>
            <w:vAlign w:val="center"/>
          </w:tcPr>
          <w:p w14:paraId="0954033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964" w:type="dxa"/>
            <w:gridSpan w:val="3"/>
            <w:noWrap w:val="0"/>
            <w:tcMar>
              <w:left w:w="57" w:type="dxa"/>
              <w:right w:w="57" w:type="dxa"/>
            </w:tcMar>
            <w:vAlign w:val="center"/>
          </w:tcPr>
          <w:p w14:paraId="15D36094">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5396" w:type="dxa"/>
            <w:gridSpan w:val="7"/>
            <w:noWrap w:val="0"/>
            <w:tcMar>
              <w:left w:w="57" w:type="dxa"/>
              <w:right w:w="57" w:type="dxa"/>
            </w:tcMar>
            <w:vAlign w:val="center"/>
          </w:tcPr>
          <w:p w14:paraId="20A7B9C0">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0"/>
                <w:sz w:val="15"/>
                <w:szCs w:val="15"/>
                <w:lang w:eastAsia="zh-CN"/>
              </w:rPr>
            </w:pPr>
          </w:p>
        </w:tc>
        <w:tc>
          <w:tcPr>
            <w:tcW w:w="2326" w:type="dxa"/>
            <w:gridSpan w:val="2"/>
            <w:noWrap w:val="0"/>
            <w:tcMar>
              <w:left w:w="57" w:type="dxa"/>
              <w:right w:w="57" w:type="dxa"/>
            </w:tcMar>
            <w:vAlign w:val="center"/>
          </w:tcPr>
          <w:p w14:paraId="64B2A38F">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0"/>
                <w:sz w:val="15"/>
                <w:szCs w:val="15"/>
                <w:lang w:eastAsia="zh-CN"/>
              </w:rPr>
            </w:pPr>
          </w:p>
        </w:tc>
        <w:tc>
          <w:tcPr>
            <w:tcW w:w="1730" w:type="dxa"/>
            <w:noWrap w:val="0"/>
            <w:tcMar>
              <w:left w:w="57" w:type="dxa"/>
              <w:right w:w="57" w:type="dxa"/>
            </w:tcMar>
            <w:vAlign w:val="center"/>
          </w:tcPr>
          <w:p w14:paraId="480CEEF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488" w:type="dxa"/>
            <w:gridSpan w:val="2"/>
            <w:noWrap w:val="0"/>
            <w:tcMar>
              <w:left w:w="57" w:type="dxa"/>
              <w:right w:w="57" w:type="dxa"/>
            </w:tcMar>
            <w:vAlign w:val="center"/>
          </w:tcPr>
          <w:p w14:paraId="3D17B9BC">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2542" w:type="dxa"/>
            <w:gridSpan w:val="4"/>
            <w:noWrap w:val="0"/>
            <w:tcMar>
              <w:left w:w="57" w:type="dxa"/>
              <w:right w:w="57" w:type="dxa"/>
            </w:tcMar>
            <w:vAlign w:val="center"/>
          </w:tcPr>
          <w:p w14:paraId="63B5B931">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4F6FA5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235" w:hRule="atLeast"/>
          <w:jc w:val="center"/>
        </w:trPr>
        <w:tc>
          <w:tcPr>
            <w:tcW w:w="430" w:type="dxa"/>
            <w:vMerge w:val="continue"/>
            <w:noWrap w:val="0"/>
            <w:tcMar>
              <w:left w:w="57" w:type="dxa"/>
              <w:right w:w="57" w:type="dxa"/>
            </w:tcMar>
            <w:vAlign w:val="center"/>
          </w:tcPr>
          <w:p w14:paraId="1568091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964" w:type="dxa"/>
            <w:gridSpan w:val="3"/>
            <w:noWrap w:val="0"/>
            <w:tcMar>
              <w:left w:w="57" w:type="dxa"/>
              <w:right w:w="57" w:type="dxa"/>
            </w:tcMar>
            <w:vAlign w:val="center"/>
          </w:tcPr>
          <w:p w14:paraId="56E14CA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5396" w:type="dxa"/>
            <w:gridSpan w:val="7"/>
            <w:noWrap w:val="0"/>
            <w:tcMar>
              <w:left w:w="57" w:type="dxa"/>
              <w:right w:w="57" w:type="dxa"/>
            </w:tcMar>
            <w:vAlign w:val="center"/>
          </w:tcPr>
          <w:p w14:paraId="6CC98564">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2326" w:type="dxa"/>
            <w:gridSpan w:val="2"/>
            <w:noWrap w:val="0"/>
            <w:tcMar>
              <w:left w:w="57" w:type="dxa"/>
              <w:right w:w="57" w:type="dxa"/>
            </w:tcMar>
            <w:vAlign w:val="center"/>
          </w:tcPr>
          <w:p w14:paraId="6C147F65">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730" w:type="dxa"/>
            <w:noWrap w:val="0"/>
            <w:tcMar>
              <w:left w:w="57" w:type="dxa"/>
              <w:right w:w="57" w:type="dxa"/>
            </w:tcMar>
            <w:vAlign w:val="center"/>
          </w:tcPr>
          <w:p w14:paraId="01B9AAE8">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488" w:type="dxa"/>
            <w:gridSpan w:val="2"/>
            <w:noWrap w:val="0"/>
            <w:tcMar>
              <w:left w:w="57" w:type="dxa"/>
              <w:right w:w="57" w:type="dxa"/>
            </w:tcMar>
            <w:vAlign w:val="center"/>
          </w:tcPr>
          <w:p w14:paraId="2AF4D13F">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2542" w:type="dxa"/>
            <w:gridSpan w:val="4"/>
            <w:noWrap w:val="0"/>
            <w:tcMar>
              <w:left w:w="57" w:type="dxa"/>
              <w:right w:w="57" w:type="dxa"/>
            </w:tcMar>
            <w:vAlign w:val="center"/>
          </w:tcPr>
          <w:p w14:paraId="680020C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3427AF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430" w:type="dxa"/>
            <w:vMerge w:val="continue"/>
            <w:noWrap w:val="0"/>
            <w:tcMar>
              <w:left w:w="57" w:type="dxa"/>
              <w:right w:w="57" w:type="dxa"/>
            </w:tcMar>
            <w:vAlign w:val="center"/>
          </w:tcPr>
          <w:p w14:paraId="2ED02AD8">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964" w:type="dxa"/>
            <w:gridSpan w:val="3"/>
            <w:noWrap w:val="0"/>
            <w:tcMar>
              <w:left w:w="57" w:type="dxa"/>
              <w:right w:w="57" w:type="dxa"/>
            </w:tcMar>
            <w:vAlign w:val="center"/>
          </w:tcPr>
          <w:p w14:paraId="288A0CC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5396" w:type="dxa"/>
            <w:gridSpan w:val="7"/>
            <w:noWrap w:val="0"/>
            <w:tcMar>
              <w:left w:w="57" w:type="dxa"/>
              <w:right w:w="57" w:type="dxa"/>
            </w:tcMar>
            <w:vAlign w:val="center"/>
          </w:tcPr>
          <w:p w14:paraId="3452B66E">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2326" w:type="dxa"/>
            <w:gridSpan w:val="2"/>
            <w:noWrap w:val="0"/>
            <w:tcMar>
              <w:left w:w="57" w:type="dxa"/>
              <w:right w:w="57" w:type="dxa"/>
            </w:tcMar>
            <w:vAlign w:val="center"/>
          </w:tcPr>
          <w:p w14:paraId="23BDD1A8">
            <w:pPr>
              <w:tabs>
                <w:tab w:val="left" w:pos="690"/>
              </w:tabs>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5A053BCF">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488" w:type="dxa"/>
            <w:gridSpan w:val="2"/>
            <w:noWrap w:val="0"/>
            <w:tcMar>
              <w:left w:w="57" w:type="dxa"/>
              <w:right w:w="57" w:type="dxa"/>
            </w:tcMar>
            <w:vAlign w:val="center"/>
          </w:tcPr>
          <w:p w14:paraId="2352A45E">
            <w:pPr>
              <w:tabs>
                <w:tab w:val="left" w:pos="690"/>
              </w:tabs>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2542" w:type="dxa"/>
            <w:gridSpan w:val="4"/>
            <w:noWrap w:val="0"/>
            <w:tcMar>
              <w:left w:w="57" w:type="dxa"/>
              <w:right w:w="57" w:type="dxa"/>
            </w:tcMar>
            <w:vAlign w:val="center"/>
          </w:tcPr>
          <w:p w14:paraId="0EFCA2CF">
            <w:pPr>
              <w:tabs>
                <w:tab w:val="left" w:pos="690"/>
              </w:tabs>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2CCA4D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430" w:type="dxa"/>
            <w:vMerge w:val="continue"/>
            <w:noWrap w:val="0"/>
            <w:tcMar>
              <w:left w:w="57" w:type="dxa"/>
              <w:right w:w="57" w:type="dxa"/>
            </w:tcMar>
            <w:vAlign w:val="center"/>
          </w:tcPr>
          <w:p w14:paraId="3FDCD6B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964" w:type="dxa"/>
            <w:gridSpan w:val="3"/>
            <w:noWrap w:val="0"/>
            <w:tcMar>
              <w:left w:w="57" w:type="dxa"/>
              <w:right w:w="57" w:type="dxa"/>
            </w:tcMar>
            <w:vAlign w:val="center"/>
          </w:tcPr>
          <w:p w14:paraId="03B35A7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5396" w:type="dxa"/>
            <w:gridSpan w:val="7"/>
            <w:noWrap w:val="0"/>
            <w:tcMar>
              <w:left w:w="57" w:type="dxa"/>
              <w:right w:w="57" w:type="dxa"/>
            </w:tcMar>
            <w:vAlign w:val="center"/>
          </w:tcPr>
          <w:p w14:paraId="3B15E88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2326" w:type="dxa"/>
            <w:gridSpan w:val="2"/>
            <w:noWrap w:val="0"/>
            <w:tcMar>
              <w:left w:w="57" w:type="dxa"/>
              <w:right w:w="57" w:type="dxa"/>
            </w:tcMar>
            <w:vAlign w:val="center"/>
          </w:tcPr>
          <w:p w14:paraId="2429944F">
            <w:pPr>
              <w:kinsoku/>
              <w:autoSpaceDE/>
              <w:autoSpaceDN/>
              <w:spacing w:after="0" w:afterLines="0" w:line="240" w:lineRule="auto"/>
              <w:ind w:right="300" w:firstLine="0" w:firstLineChars="0"/>
              <w:jc w:val="center"/>
              <w:textAlignment w:val="auto"/>
              <w:rPr>
                <w:rFonts w:ascii="Tahoma" w:hAnsi="Tahoma" w:eastAsia="微软雅黑" w:cs="Times New Roman"/>
                <w:b/>
                <w:snapToGrid/>
                <w:color w:val="auto"/>
                <w:kern w:val="2"/>
                <w:sz w:val="15"/>
                <w:szCs w:val="15"/>
                <w:lang w:eastAsia="zh-CN"/>
              </w:rPr>
            </w:pPr>
          </w:p>
        </w:tc>
        <w:tc>
          <w:tcPr>
            <w:tcW w:w="1730" w:type="dxa"/>
            <w:noWrap w:val="0"/>
            <w:tcMar>
              <w:left w:w="57" w:type="dxa"/>
              <w:right w:w="57" w:type="dxa"/>
            </w:tcMar>
            <w:vAlign w:val="center"/>
          </w:tcPr>
          <w:p w14:paraId="28589314">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488" w:type="dxa"/>
            <w:gridSpan w:val="2"/>
            <w:noWrap w:val="0"/>
            <w:tcMar>
              <w:left w:w="57" w:type="dxa"/>
              <w:right w:w="57" w:type="dxa"/>
            </w:tcMar>
            <w:vAlign w:val="center"/>
          </w:tcPr>
          <w:p w14:paraId="77F208AC">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2542" w:type="dxa"/>
            <w:gridSpan w:val="4"/>
            <w:noWrap w:val="0"/>
            <w:tcMar>
              <w:left w:w="57" w:type="dxa"/>
              <w:right w:w="57" w:type="dxa"/>
            </w:tcMar>
            <w:vAlign w:val="center"/>
          </w:tcPr>
          <w:p w14:paraId="2DCEEC1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169A2B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11" w:hRule="atLeast"/>
          <w:jc w:val="center"/>
        </w:trPr>
        <w:tc>
          <w:tcPr>
            <w:tcW w:w="430" w:type="dxa"/>
            <w:vMerge w:val="continue"/>
            <w:noWrap w:val="0"/>
            <w:tcMar>
              <w:left w:w="57" w:type="dxa"/>
              <w:right w:w="57" w:type="dxa"/>
            </w:tcMar>
            <w:vAlign w:val="center"/>
          </w:tcPr>
          <w:p w14:paraId="344F0933">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964" w:type="dxa"/>
            <w:gridSpan w:val="3"/>
            <w:noWrap w:val="0"/>
            <w:tcMar>
              <w:left w:w="57" w:type="dxa"/>
              <w:right w:w="57" w:type="dxa"/>
            </w:tcMar>
            <w:vAlign w:val="center"/>
          </w:tcPr>
          <w:p w14:paraId="7D91FEF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28" w:type="dxa"/>
            <w:noWrap w:val="0"/>
            <w:tcMar>
              <w:left w:w="57" w:type="dxa"/>
              <w:right w:w="57" w:type="dxa"/>
            </w:tcMar>
            <w:vAlign w:val="center"/>
          </w:tcPr>
          <w:p w14:paraId="228B4DB5">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13C46C7A">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097" w:type="dxa"/>
            <w:noWrap w:val="0"/>
            <w:tcMar>
              <w:left w:w="57" w:type="dxa"/>
              <w:right w:w="57" w:type="dxa"/>
            </w:tcMar>
            <w:vAlign w:val="center"/>
          </w:tcPr>
          <w:p w14:paraId="3AF0F6A9">
            <w:pPr>
              <w:kinsoku/>
              <w:autoSpaceDE/>
              <w:autoSpaceDN/>
              <w:spacing w:after="0" w:afterLines="0" w:line="240" w:lineRule="auto"/>
              <w:ind w:firstLine="0" w:firstLineChars="0"/>
              <w:jc w:val="center"/>
              <w:textAlignment w:val="auto"/>
              <w:rPr>
                <w:rFonts w:hint="default" w:ascii="Tahoma" w:hAnsi="Tahoma" w:eastAsia="微软雅黑" w:cs="Times New Roman"/>
                <w:snapToGrid/>
                <w:color w:val="auto"/>
                <w:kern w:val="2"/>
                <w:sz w:val="15"/>
                <w:szCs w:val="15"/>
                <w:lang w:val="en-US" w:eastAsia="zh-CN"/>
              </w:rPr>
            </w:pPr>
          </w:p>
        </w:tc>
        <w:tc>
          <w:tcPr>
            <w:tcW w:w="1504" w:type="dxa"/>
            <w:gridSpan w:val="3"/>
            <w:noWrap w:val="0"/>
            <w:tcMar>
              <w:left w:w="57" w:type="dxa"/>
              <w:right w:w="57" w:type="dxa"/>
            </w:tcMar>
            <w:vAlign w:val="center"/>
          </w:tcPr>
          <w:p w14:paraId="3392B978">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588" w:type="dxa"/>
            <w:noWrap w:val="0"/>
            <w:tcMar>
              <w:left w:w="57" w:type="dxa"/>
              <w:right w:w="57" w:type="dxa"/>
            </w:tcMar>
            <w:vAlign w:val="center"/>
          </w:tcPr>
          <w:p w14:paraId="5A61C644">
            <w:pPr>
              <w:kinsoku/>
              <w:autoSpaceDE/>
              <w:autoSpaceDN/>
              <w:spacing w:after="0" w:afterLines="0" w:line="240" w:lineRule="auto"/>
              <w:ind w:firstLine="0" w:firstLineChars="0"/>
              <w:jc w:val="center"/>
              <w:textAlignment w:val="auto"/>
              <w:rPr>
                <w:rFonts w:hint="default" w:ascii="Tahoma" w:hAnsi="Tahoma" w:eastAsia="微软雅黑" w:cs="Times New Roman"/>
                <w:snapToGrid/>
                <w:color w:val="auto"/>
                <w:kern w:val="2"/>
                <w:sz w:val="15"/>
                <w:szCs w:val="15"/>
                <w:lang w:val="en-US" w:eastAsia="zh-CN"/>
              </w:rPr>
            </w:pPr>
          </w:p>
        </w:tc>
        <w:tc>
          <w:tcPr>
            <w:tcW w:w="2326" w:type="dxa"/>
            <w:gridSpan w:val="2"/>
            <w:noWrap w:val="0"/>
            <w:tcMar>
              <w:left w:w="57" w:type="dxa"/>
              <w:right w:w="57" w:type="dxa"/>
            </w:tcMar>
            <w:vAlign w:val="center"/>
          </w:tcPr>
          <w:p w14:paraId="7294E7D4">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76DF2E40">
            <w:pPr>
              <w:kinsoku/>
              <w:autoSpaceDE/>
              <w:autoSpaceDN/>
              <w:spacing w:after="0" w:afterLines="0" w:line="240" w:lineRule="auto"/>
              <w:ind w:firstLine="0" w:firstLineChars="0"/>
              <w:jc w:val="center"/>
              <w:textAlignment w:val="auto"/>
              <w:rPr>
                <w:rFonts w:hint="default" w:ascii="Tahoma" w:hAnsi="Tahoma" w:eastAsia="微软雅黑" w:cs="Times New Roman"/>
                <w:snapToGrid/>
                <w:color w:val="auto"/>
                <w:kern w:val="2"/>
                <w:sz w:val="15"/>
                <w:szCs w:val="15"/>
                <w:lang w:val="en-US" w:eastAsia="zh-CN"/>
              </w:rPr>
            </w:pPr>
          </w:p>
        </w:tc>
        <w:tc>
          <w:tcPr>
            <w:tcW w:w="1488" w:type="dxa"/>
            <w:gridSpan w:val="2"/>
            <w:noWrap w:val="0"/>
            <w:tcMar>
              <w:left w:w="57" w:type="dxa"/>
              <w:right w:w="57" w:type="dxa"/>
            </w:tcMar>
            <w:vAlign w:val="center"/>
          </w:tcPr>
          <w:p w14:paraId="714596B2">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646" w:type="dxa"/>
            <w:noWrap w:val="0"/>
            <w:tcMar>
              <w:left w:w="57" w:type="dxa"/>
              <w:right w:w="57" w:type="dxa"/>
            </w:tcMar>
            <w:vAlign w:val="center"/>
          </w:tcPr>
          <w:p w14:paraId="3095B3C8">
            <w:pPr>
              <w:kinsoku/>
              <w:autoSpaceDE/>
              <w:autoSpaceDN/>
              <w:spacing w:after="0" w:afterLines="0" w:line="240" w:lineRule="auto"/>
              <w:ind w:firstLine="0" w:firstLineChars="0"/>
              <w:jc w:val="center"/>
              <w:textAlignment w:val="auto"/>
              <w:rPr>
                <w:rFonts w:hint="default" w:ascii="Tahoma" w:hAnsi="Tahoma" w:eastAsia="微软雅黑" w:cs="Times New Roman"/>
                <w:snapToGrid/>
                <w:color w:val="auto"/>
                <w:kern w:val="2"/>
                <w:sz w:val="15"/>
                <w:szCs w:val="15"/>
                <w:lang w:val="en-US" w:eastAsia="zh-CN"/>
              </w:rPr>
            </w:pPr>
          </w:p>
        </w:tc>
        <w:tc>
          <w:tcPr>
            <w:tcW w:w="1102" w:type="dxa"/>
            <w:gridSpan w:val="2"/>
            <w:noWrap w:val="0"/>
            <w:tcMar>
              <w:left w:w="57" w:type="dxa"/>
              <w:right w:w="57" w:type="dxa"/>
            </w:tcMar>
            <w:vAlign w:val="center"/>
          </w:tcPr>
          <w:p w14:paraId="156B2430">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794" w:type="dxa"/>
            <w:noWrap w:val="0"/>
            <w:tcMar>
              <w:left w:w="57" w:type="dxa"/>
              <w:right w:w="57" w:type="dxa"/>
            </w:tcMar>
            <w:vAlign w:val="center"/>
          </w:tcPr>
          <w:p w14:paraId="584A734B">
            <w:pPr>
              <w:kinsoku/>
              <w:autoSpaceDE/>
              <w:autoSpaceDN/>
              <w:spacing w:after="0" w:afterLines="0" w:line="240" w:lineRule="auto"/>
              <w:ind w:firstLine="0" w:firstLineChars="0"/>
              <w:jc w:val="center"/>
              <w:textAlignment w:val="auto"/>
              <w:rPr>
                <w:rFonts w:hint="default" w:ascii="Tahoma" w:hAnsi="Tahoma" w:eastAsia="微软雅黑" w:cs="Times New Roman"/>
                <w:snapToGrid/>
                <w:color w:val="auto"/>
                <w:kern w:val="2"/>
                <w:sz w:val="15"/>
                <w:szCs w:val="15"/>
                <w:lang w:val="en-US" w:eastAsia="zh-CN"/>
              </w:rPr>
            </w:pPr>
          </w:p>
        </w:tc>
      </w:tr>
      <w:tr w14:paraId="2E3D09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430" w:type="dxa"/>
            <w:vMerge w:val="continue"/>
            <w:noWrap w:val="0"/>
            <w:tcMar>
              <w:left w:w="57" w:type="dxa"/>
              <w:right w:w="57" w:type="dxa"/>
            </w:tcMar>
            <w:vAlign w:val="center"/>
          </w:tcPr>
          <w:p w14:paraId="19EA98E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964" w:type="dxa"/>
            <w:gridSpan w:val="3"/>
            <w:noWrap w:val="0"/>
            <w:tcMar>
              <w:left w:w="57" w:type="dxa"/>
              <w:right w:w="57" w:type="dxa"/>
            </w:tcMar>
            <w:vAlign w:val="center"/>
          </w:tcPr>
          <w:p w14:paraId="0ACCBF9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5396" w:type="dxa"/>
            <w:gridSpan w:val="7"/>
            <w:noWrap w:val="0"/>
            <w:tcMar>
              <w:left w:w="57" w:type="dxa"/>
              <w:right w:w="57" w:type="dxa"/>
            </w:tcMar>
            <w:vAlign w:val="center"/>
          </w:tcPr>
          <w:p w14:paraId="51C74940">
            <w:pPr>
              <w:kinsoku/>
              <w:autoSpaceDE/>
              <w:autoSpaceDN/>
              <w:spacing w:after="0" w:afterLines="0" w:line="240" w:lineRule="auto"/>
              <w:ind w:firstLine="0" w:firstLineChars="0"/>
              <w:jc w:val="center"/>
              <w:textAlignment w:val="auto"/>
              <w:rPr>
                <w:rFonts w:hint="default" w:ascii="Tahoma" w:hAnsi="Tahoma" w:eastAsia="微软雅黑" w:cs="Times New Roman"/>
                <w:snapToGrid/>
                <w:color w:val="auto"/>
                <w:kern w:val="2"/>
                <w:sz w:val="15"/>
                <w:szCs w:val="15"/>
                <w:lang w:val="en-US" w:eastAsia="zh-CN"/>
              </w:rPr>
            </w:pPr>
          </w:p>
        </w:tc>
        <w:tc>
          <w:tcPr>
            <w:tcW w:w="2326" w:type="dxa"/>
            <w:gridSpan w:val="2"/>
            <w:noWrap w:val="0"/>
            <w:tcMar>
              <w:left w:w="57" w:type="dxa"/>
              <w:right w:w="57" w:type="dxa"/>
            </w:tcMar>
            <w:vAlign w:val="center"/>
          </w:tcPr>
          <w:p w14:paraId="51FE5C5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40C3EA54">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488" w:type="dxa"/>
            <w:gridSpan w:val="2"/>
            <w:noWrap w:val="0"/>
            <w:tcMar>
              <w:left w:w="57" w:type="dxa"/>
              <w:right w:w="57" w:type="dxa"/>
            </w:tcMar>
            <w:vAlign w:val="center"/>
          </w:tcPr>
          <w:p w14:paraId="7E3B40B3">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2542" w:type="dxa"/>
            <w:gridSpan w:val="4"/>
            <w:noWrap w:val="0"/>
            <w:tcMar>
              <w:left w:w="57" w:type="dxa"/>
              <w:right w:w="57" w:type="dxa"/>
            </w:tcMar>
            <w:vAlign w:val="center"/>
          </w:tcPr>
          <w:p w14:paraId="1DEB16C8">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714988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2394" w:type="dxa"/>
            <w:gridSpan w:val="4"/>
            <w:noWrap w:val="0"/>
            <w:tcMar>
              <w:left w:w="57" w:type="dxa"/>
              <w:right w:w="57" w:type="dxa"/>
            </w:tcMar>
            <w:vAlign w:val="center"/>
          </w:tcPr>
          <w:p w14:paraId="52F018D6">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4291" w:type="dxa"/>
            <w:gridSpan w:val="4"/>
            <w:noWrap w:val="0"/>
            <w:tcMar>
              <w:left w:w="57" w:type="dxa"/>
              <w:right w:w="57" w:type="dxa"/>
            </w:tcMar>
            <w:vAlign w:val="center"/>
          </w:tcPr>
          <w:p w14:paraId="107E5DA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3431" w:type="dxa"/>
            <w:gridSpan w:val="5"/>
            <w:noWrap w:val="0"/>
            <w:tcMar>
              <w:left w:w="57" w:type="dxa"/>
              <w:right w:w="57" w:type="dxa"/>
            </w:tcMar>
            <w:vAlign w:val="center"/>
          </w:tcPr>
          <w:p w14:paraId="59D64BB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0597A67A">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488" w:type="dxa"/>
            <w:gridSpan w:val="2"/>
            <w:noWrap w:val="0"/>
            <w:tcMar>
              <w:left w:w="57" w:type="dxa"/>
              <w:right w:w="57" w:type="dxa"/>
            </w:tcMar>
            <w:vAlign w:val="center"/>
          </w:tcPr>
          <w:p w14:paraId="1CDB8D50">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2542" w:type="dxa"/>
            <w:gridSpan w:val="4"/>
            <w:noWrap w:val="0"/>
            <w:tcMar>
              <w:left w:w="57" w:type="dxa"/>
              <w:right w:w="57" w:type="dxa"/>
            </w:tcMar>
            <w:vAlign w:val="center"/>
          </w:tcPr>
          <w:p w14:paraId="509B6F93">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5CE583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598" w:type="dxa"/>
            <w:gridSpan w:val="2"/>
            <w:vMerge w:val="restart"/>
            <w:noWrap w:val="0"/>
            <w:tcMar>
              <w:left w:w="57" w:type="dxa"/>
              <w:right w:w="57" w:type="dxa"/>
            </w:tcMar>
            <w:vAlign w:val="center"/>
          </w:tcPr>
          <w:p w14:paraId="0BABF184">
            <w:pPr>
              <w:kinsoku/>
              <w:autoSpaceDE/>
              <w:autoSpaceDN/>
              <w:spacing w:after="0" w:afterLines="0" w:line="240" w:lineRule="auto"/>
              <w:ind w:firstLine="0" w:firstLineChars="0"/>
              <w:jc w:val="center"/>
              <w:textAlignment w:val="auto"/>
              <w:rPr>
                <w:rFonts w:ascii="Tahoma" w:hAnsi="Tahoma" w:eastAsia="黑体" w:cs="Times New Roman"/>
                <w:b/>
                <w:snapToGrid/>
                <w:color w:val="auto"/>
                <w:spacing w:val="20"/>
                <w:kern w:val="2"/>
                <w:sz w:val="15"/>
                <w:szCs w:val="15"/>
                <w:lang w:eastAsia="zh-CN"/>
              </w:rPr>
            </w:pPr>
          </w:p>
        </w:tc>
        <w:tc>
          <w:tcPr>
            <w:tcW w:w="1796" w:type="dxa"/>
            <w:gridSpan w:val="2"/>
            <w:noWrap w:val="0"/>
            <w:tcMar>
              <w:left w:w="57" w:type="dxa"/>
              <w:right w:w="57" w:type="dxa"/>
            </w:tcMar>
            <w:vAlign w:val="center"/>
          </w:tcPr>
          <w:p w14:paraId="51366FA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28" w:type="dxa"/>
            <w:noWrap w:val="0"/>
            <w:tcMar>
              <w:left w:w="57" w:type="dxa"/>
              <w:right w:w="57" w:type="dxa"/>
            </w:tcMar>
            <w:vAlign w:val="center"/>
          </w:tcPr>
          <w:p w14:paraId="5827B476">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379" w:type="dxa"/>
            <w:noWrap w:val="0"/>
            <w:tcMar>
              <w:left w:w="57" w:type="dxa"/>
              <w:right w:w="57" w:type="dxa"/>
            </w:tcMar>
            <w:vAlign w:val="center"/>
          </w:tcPr>
          <w:p w14:paraId="4BC5E9A5">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097" w:type="dxa"/>
            <w:noWrap w:val="0"/>
            <w:tcMar>
              <w:left w:w="57" w:type="dxa"/>
              <w:right w:w="57" w:type="dxa"/>
            </w:tcMar>
            <w:vAlign w:val="center"/>
          </w:tcPr>
          <w:p w14:paraId="0142E6CD">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993" w:type="dxa"/>
            <w:gridSpan w:val="2"/>
            <w:noWrap w:val="0"/>
            <w:tcMar>
              <w:left w:w="57" w:type="dxa"/>
              <w:right w:w="57" w:type="dxa"/>
            </w:tcMar>
            <w:vAlign w:val="center"/>
          </w:tcPr>
          <w:p w14:paraId="6C207685">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099" w:type="dxa"/>
            <w:gridSpan w:val="2"/>
            <w:noWrap w:val="0"/>
            <w:tcMar>
              <w:left w:w="57" w:type="dxa"/>
              <w:right w:w="57" w:type="dxa"/>
            </w:tcMar>
            <w:vAlign w:val="center"/>
          </w:tcPr>
          <w:p w14:paraId="52FAB836">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137" w:type="dxa"/>
            <w:noWrap w:val="0"/>
            <w:tcMar>
              <w:left w:w="57" w:type="dxa"/>
              <w:right w:w="57" w:type="dxa"/>
            </w:tcMar>
            <w:vAlign w:val="center"/>
          </w:tcPr>
          <w:p w14:paraId="2F73CA7F">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189" w:type="dxa"/>
            <w:noWrap w:val="0"/>
            <w:tcMar>
              <w:left w:w="57" w:type="dxa"/>
              <w:right w:w="57" w:type="dxa"/>
            </w:tcMar>
            <w:vAlign w:val="center"/>
          </w:tcPr>
          <w:p w14:paraId="151063F9">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730" w:type="dxa"/>
            <w:noWrap w:val="0"/>
            <w:tcMar>
              <w:left w:w="57" w:type="dxa"/>
              <w:right w:w="57" w:type="dxa"/>
            </w:tcMar>
            <w:vAlign w:val="center"/>
          </w:tcPr>
          <w:p w14:paraId="766E973D">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890" w:type="dxa"/>
            <w:noWrap w:val="0"/>
            <w:tcMar>
              <w:left w:w="57" w:type="dxa"/>
              <w:right w:w="57" w:type="dxa"/>
            </w:tcMar>
            <w:vAlign w:val="center"/>
          </w:tcPr>
          <w:p w14:paraId="2DE08979">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244" w:type="dxa"/>
            <w:gridSpan w:val="2"/>
            <w:noWrap w:val="0"/>
            <w:tcMar>
              <w:left w:w="57" w:type="dxa"/>
              <w:right w:w="57" w:type="dxa"/>
            </w:tcMar>
            <w:vAlign w:val="center"/>
          </w:tcPr>
          <w:p w14:paraId="2127905C">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1102" w:type="dxa"/>
            <w:gridSpan w:val="2"/>
            <w:noWrap w:val="0"/>
            <w:tcMar>
              <w:left w:w="57" w:type="dxa"/>
              <w:right w:w="57" w:type="dxa"/>
            </w:tcMar>
            <w:vAlign w:val="center"/>
          </w:tcPr>
          <w:p w14:paraId="5F22A609">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794" w:type="dxa"/>
            <w:noWrap w:val="0"/>
            <w:tcMar>
              <w:left w:w="57" w:type="dxa"/>
              <w:right w:w="57" w:type="dxa"/>
            </w:tcMar>
            <w:vAlign w:val="center"/>
          </w:tcPr>
          <w:p w14:paraId="1C995F3E">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r>
      <w:tr w14:paraId="3EB8C9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598" w:type="dxa"/>
            <w:gridSpan w:val="2"/>
            <w:vMerge w:val="continue"/>
            <w:noWrap w:val="0"/>
            <w:tcMar>
              <w:left w:w="57" w:type="dxa"/>
              <w:right w:w="57" w:type="dxa"/>
            </w:tcMar>
            <w:vAlign w:val="center"/>
          </w:tcPr>
          <w:p w14:paraId="6FE065D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96" w:type="dxa"/>
            <w:gridSpan w:val="2"/>
            <w:noWrap w:val="0"/>
            <w:tcMar>
              <w:left w:w="57" w:type="dxa"/>
              <w:right w:w="57" w:type="dxa"/>
            </w:tcMar>
            <w:vAlign w:val="center"/>
          </w:tcPr>
          <w:p w14:paraId="282AED34">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28" w:type="dxa"/>
            <w:noWrap w:val="0"/>
            <w:tcMar>
              <w:left w:w="57" w:type="dxa"/>
              <w:right w:w="57" w:type="dxa"/>
            </w:tcMar>
            <w:vAlign w:val="center"/>
          </w:tcPr>
          <w:p w14:paraId="3E399088">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6182D7D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2EA668B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42AAC6B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4FBA5C2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717FBAC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2089C998">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13D8226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4326993F">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5EC3A3E8">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5C989891">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03F122C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42F8E6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598" w:type="dxa"/>
            <w:gridSpan w:val="2"/>
            <w:vMerge w:val="continue"/>
            <w:noWrap w:val="0"/>
            <w:tcMar>
              <w:left w:w="57" w:type="dxa"/>
              <w:right w:w="57" w:type="dxa"/>
            </w:tcMar>
            <w:vAlign w:val="center"/>
          </w:tcPr>
          <w:p w14:paraId="5C2215EC">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96" w:type="dxa"/>
            <w:gridSpan w:val="2"/>
            <w:noWrap w:val="0"/>
            <w:tcMar>
              <w:left w:w="57" w:type="dxa"/>
              <w:right w:w="57" w:type="dxa"/>
            </w:tcMar>
            <w:vAlign w:val="center"/>
          </w:tcPr>
          <w:p w14:paraId="2EEB4E12">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828" w:type="dxa"/>
            <w:noWrap w:val="0"/>
            <w:tcMar>
              <w:left w:w="57" w:type="dxa"/>
              <w:right w:w="57" w:type="dxa"/>
            </w:tcMar>
            <w:vAlign w:val="center"/>
          </w:tcPr>
          <w:p w14:paraId="6D74680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7390FE4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696F61BC">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5DD30E0E">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612C3DBC">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290610DF">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51F41F5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22930F1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63AF9AB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0C09E3D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09CDD95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2D7EA24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160B26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598" w:type="dxa"/>
            <w:gridSpan w:val="2"/>
            <w:vMerge w:val="continue"/>
            <w:noWrap w:val="0"/>
            <w:tcMar>
              <w:left w:w="57" w:type="dxa"/>
              <w:right w:w="57" w:type="dxa"/>
            </w:tcMar>
            <w:vAlign w:val="center"/>
          </w:tcPr>
          <w:p w14:paraId="22944C4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96" w:type="dxa"/>
            <w:gridSpan w:val="2"/>
            <w:noWrap w:val="0"/>
            <w:tcMar>
              <w:left w:w="57" w:type="dxa"/>
              <w:right w:w="57" w:type="dxa"/>
            </w:tcMar>
            <w:vAlign w:val="center"/>
          </w:tcPr>
          <w:p w14:paraId="34A1586A">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828" w:type="dxa"/>
            <w:noWrap w:val="0"/>
            <w:tcMar>
              <w:left w:w="57" w:type="dxa"/>
              <w:right w:w="57" w:type="dxa"/>
            </w:tcMar>
            <w:vAlign w:val="center"/>
          </w:tcPr>
          <w:p w14:paraId="7CD100D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4E5DABA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6BED37C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4A8672F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30080D53">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138B606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1F3B60B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7A2A2BF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0489C6B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2A6A93EE">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57780175">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340F724F">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2615CF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598" w:type="dxa"/>
            <w:gridSpan w:val="2"/>
            <w:vMerge w:val="continue"/>
            <w:noWrap w:val="0"/>
            <w:tcMar>
              <w:left w:w="57" w:type="dxa"/>
              <w:right w:w="57" w:type="dxa"/>
            </w:tcMar>
            <w:vAlign w:val="center"/>
          </w:tcPr>
          <w:p w14:paraId="3BD69D94">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96" w:type="dxa"/>
            <w:gridSpan w:val="2"/>
            <w:noWrap w:val="0"/>
            <w:tcMar>
              <w:left w:w="57" w:type="dxa"/>
              <w:right w:w="57" w:type="dxa"/>
            </w:tcMar>
            <w:vAlign w:val="center"/>
          </w:tcPr>
          <w:p w14:paraId="024226FA">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828" w:type="dxa"/>
            <w:noWrap w:val="0"/>
            <w:tcMar>
              <w:left w:w="57" w:type="dxa"/>
              <w:right w:w="57" w:type="dxa"/>
            </w:tcMar>
            <w:vAlign w:val="center"/>
          </w:tcPr>
          <w:p w14:paraId="6C6A4061">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4F0385F5">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56E58E08">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193AFD7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69BCD6E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2119920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4FEB5DB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6F53140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62156D8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560F4F14">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0B5D312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4DE7DDB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379273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598" w:type="dxa"/>
            <w:gridSpan w:val="2"/>
            <w:vMerge w:val="continue"/>
            <w:noWrap w:val="0"/>
            <w:tcMar>
              <w:left w:w="57" w:type="dxa"/>
              <w:right w:w="57" w:type="dxa"/>
            </w:tcMar>
            <w:vAlign w:val="center"/>
          </w:tcPr>
          <w:p w14:paraId="50661DDE">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96" w:type="dxa"/>
            <w:gridSpan w:val="2"/>
            <w:noWrap w:val="0"/>
            <w:tcMar>
              <w:left w:w="57" w:type="dxa"/>
              <w:right w:w="57" w:type="dxa"/>
            </w:tcMar>
            <w:vAlign w:val="center"/>
          </w:tcPr>
          <w:p w14:paraId="058E987A">
            <w:pPr>
              <w:kinsoku/>
              <w:autoSpaceDE/>
              <w:autoSpaceDN/>
              <w:spacing w:after="0" w:afterLines="0" w:line="240" w:lineRule="auto"/>
              <w:ind w:firstLine="0" w:firstLineChars="0"/>
              <w:jc w:val="center"/>
              <w:textAlignment w:val="auto"/>
              <w:rPr>
                <w:rFonts w:ascii="Tahoma" w:hAnsi="Tahoma" w:eastAsia="黑体" w:cs="Times New Roman"/>
                <w:b/>
                <w:snapToGrid/>
                <w:color w:val="auto"/>
                <w:kern w:val="2"/>
                <w:sz w:val="15"/>
                <w:szCs w:val="15"/>
                <w:lang w:eastAsia="zh-CN"/>
              </w:rPr>
            </w:pPr>
          </w:p>
        </w:tc>
        <w:tc>
          <w:tcPr>
            <w:tcW w:w="828" w:type="dxa"/>
            <w:noWrap w:val="0"/>
            <w:tcMar>
              <w:left w:w="57" w:type="dxa"/>
              <w:right w:w="57" w:type="dxa"/>
            </w:tcMar>
            <w:vAlign w:val="center"/>
          </w:tcPr>
          <w:p w14:paraId="105EB74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5995208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65CDC131">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6DBF78A1">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0183BE11">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0A099F04">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1C362FD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6FC0169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2D78D84F">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041903E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016CB7A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08BF752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11EEBA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598" w:type="dxa"/>
            <w:gridSpan w:val="2"/>
            <w:vMerge w:val="continue"/>
            <w:noWrap w:val="0"/>
            <w:tcMar>
              <w:left w:w="57" w:type="dxa"/>
              <w:right w:w="57" w:type="dxa"/>
            </w:tcMar>
            <w:vAlign w:val="center"/>
          </w:tcPr>
          <w:p w14:paraId="61D2D7E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96" w:type="dxa"/>
            <w:gridSpan w:val="2"/>
            <w:noWrap w:val="0"/>
            <w:tcMar>
              <w:left w:w="57" w:type="dxa"/>
              <w:right w:w="57" w:type="dxa"/>
            </w:tcMar>
            <w:vAlign w:val="center"/>
          </w:tcPr>
          <w:p w14:paraId="46CACB4F">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828" w:type="dxa"/>
            <w:noWrap w:val="0"/>
            <w:tcMar>
              <w:left w:w="57" w:type="dxa"/>
              <w:right w:w="57" w:type="dxa"/>
            </w:tcMar>
            <w:vAlign w:val="center"/>
          </w:tcPr>
          <w:p w14:paraId="44EB6E8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3C047885">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46EA1E5F">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6A990BF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171D0DD5">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34A8CFBE">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0BBA242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7A3E617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60F9065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694C5AF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08135D5C">
            <w:pPr>
              <w:kinsoku/>
              <w:autoSpaceDE/>
              <w:autoSpaceDN/>
              <w:spacing w:after="0" w:afterLines="0" w:line="240" w:lineRule="auto"/>
              <w:ind w:firstLine="0" w:firstLineChars="0"/>
              <w:jc w:val="center"/>
              <w:textAlignment w:val="center"/>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61CC86DF">
            <w:pPr>
              <w:kinsoku/>
              <w:autoSpaceDE/>
              <w:autoSpaceDN/>
              <w:spacing w:after="0" w:afterLines="0" w:line="240" w:lineRule="auto"/>
              <w:ind w:firstLine="0" w:firstLineChars="0"/>
              <w:jc w:val="center"/>
              <w:textAlignment w:val="center"/>
              <w:rPr>
                <w:rFonts w:ascii="Tahoma" w:hAnsi="Tahoma" w:eastAsia="微软雅黑" w:cs="Times New Roman"/>
                <w:snapToGrid/>
                <w:color w:val="auto"/>
                <w:kern w:val="2"/>
                <w:sz w:val="15"/>
                <w:szCs w:val="15"/>
                <w:lang w:eastAsia="zh-CN"/>
              </w:rPr>
            </w:pPr>
          </w:p>
        </w:tc>
      </w:tr>
      <w:tr w14:paraId="03C111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598" w:type="dxa"/>
            <w:gridSpan w:val="2"/>
            <w:vMerge w:val="continue"/>
            <w:noWrap w:val="0"/>
            <w:tcMar>
              <w:left w:w="57" w:type="dxa"/>
              <w:right w:w="57" w:type="dxa"/>
            </w:tcMar>
            <w:vAlign w:val="center"/>
          </w:tcPr>
          <w:p w14:paraId="7A4D469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96" w:type="dxa"/>
            <w:gridSpan w:val="2"/>
            <w:noWrap w:val="0"/>
            <w:tcMar>
              <w:left w:w="57" w:type="dxa"/>
              <w:right w:w="57" w:type="dxa"/>
            </w:tcMar>
            <w:vAlign w:val="center"/>
          </w:tcPr>
          <w:p w14:paraId="2589B693">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828" w:type="dxa"/>
            <w:noWrap w:val="0"/>
            <w:tcMar>
              <w:left w:w="57" w:type="dxa"/>
              <w:right w:w="57" w:type="dxa"/>
            </w:tcMar>
            <w:vAlign w:val="center"/>
          </w:tcPr>
          <w:p w14:paraId="1958F76E">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2A413E98">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2AEDCA2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0A18596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77AC2DA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330C948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46E69C8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0924B1F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3843D0B4">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6823351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0183FF37">
            <w:pPr>
              <w:kinsoku/>
              <w:autoSpaceDE/>
              <w:autoSpaceDN/>
              <w:spacing w:after="0" w:afterLines="0" w:line="240" w:lineRule="auto"/>
              <w:ind w:firstLine="0" w:firstLineChars="0"/>
              <w:jc w:val="center"/>
              <w:textAlignment w:val="center"/>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623F8585">
            <w:pPr>
              <w:kinsoku/>
              <w:autoSpaceDE/>
              <w:autoSpaceDN/>
              <w:spacing w:after="0" w:afterLines="0" w:line="240" w:lineRule="auto"/>
              <w:ind w:firstLine="0" w:firstLineChars="0"/>
              <w:jc w:val="center"/>
              <w:textAlignment w:val="center"/>
              <w:rPr>
                <w:rFonts w:ascii="Tahoma" w:hAnsi="Tahoma" w:eastAsia="微软雅黑" w:cs="Times New Roman"/>
                <w:snapToGrid/>
                <w:color w:val="auto"/>
                <w:kern w:val="2"/>
                <w:sz w:val="15"/>
                <w:szCs w:val="15"/>
                <w:lang w:eastAsia="zh-CN"/>
              </w:rPr>
            </w:pPr>
          </w:p>
        </w:tc>
      </w:tr>
      <w:tr w14:paraId="0BCBBC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598" w:type="dxa"/>
            <w:gridSpan w:val="2"/>
            <w:vMerge w:val="continue"/>
            <w:noWrap w:val="0"/>
            <w:tcMar>
              <w:left w:w="57" w:type="dxa"/>
              <w:right w:w="57" w:type="dxa"/>
            </w:tcMar>
            <w:vAlign w:val="center"/>
          </w:tcPr>
          <w:p w14:paraId="52D08B6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96" w:type="dxa"/>
            <w:gridSpan w:val="2"/>
            <w:noWrap w:val="0"/>
            <w:tcMar>
              <w:left w:w="57" w:type="dxa"/>
              <w:right w:w="57" w:type="dxa"/>
            </w:tcMar>
            <w:vAlign w:val="center"/>
          </w:tcPr>
          <w:p w14:paraId="077ADE4B">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828" w:type="dxa"/>
            <w:noWrap w:val="0"/>
            <w:tcMar>
              <w:left w:w="57" w:type="dxa"/>
              <w:right w:w="57" w:type="dxa"/>
            </w:tcMar>
            <w:vAlign w:val="center"/>
          </w:tcPr>
          <w:p w14:paraId="04C0C9F1">
            <w:pPr>
              <w:pStyle w:val="23"/>
              <w:bidi w:val="0"/>
              <w:ind w:firstLine="0" w:firstLineChars="0"/>
              <w:jc w:val="center"/>
              <w:rPr>
                <w:rFonts w:hint="default" w:ascii="Times New Roman" w:hAnsi="Times New Roman" w:cs="Times New Roman"/>
                <w:color w:val="auto"/>
                <w:sz w:val="18"/>
                <w:szCs w:val="18"/>
                <w:lang w:val="en-US" w:eastAsia="zh-CN"/>
              </w:rPr>
            </w:pPr>
          </w:p>
        </w:tc>
        <w:tc>
          <w:tcPr>
            <w:tcW w:w="1379" w:type="dxa"/>
            <w:noWrap w:val="0"/>
            <w:tcMar>
              <w:left w:w="57" w:type="dxa"/>
              <w:right w:w="57" w:type="dxa"/>
            </w:tcMar>
            <w:vAlign w:val="center"/>
          </w:tcPr>
          <w:p w14:paraId="59581CEC">
            <w:pPr>
              <w:pStyle w:val="23"/>
              <w:bidi w:val="0"/>
              <w:ind w:firstLine="0" w:firstLineChars="0"/>
              <w:jc w:val="center"/>
              <w:rPr>
                <w:rFonts w:hint="default" w:ascii="Times New Roman" w:hAnsi="Times New Roman" w:cs="Times New Roman"/>
                <w:color w:val="auto"/>
                <w:sz w:val="18"/>
                <w:szCs w:val="18"/>
                <w:lang w:val="en-US" w:eastAsia="zh-CN"/>
              </w:rPr>
            </w:pPr>
          </w:p>
        </w:tc>
        <w:tc>
          <w:tcPr>
            <w:tcW w:w="1097" w:type="dxa"/>
            <w:noWrap w:val="0"/>
            <w:tcMar>
              <w:left w:w="57" w:type="dxa"/>
              <w:right w:w="57" w:type="dxa"/>
            </w:tcMar>
            <w:vAlign w:val="center"/>
          </w:tcPr>
          <w:p w14:paraId="0F1C9ACE">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0222D23C">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642F56F5">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7FD7C1A8">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3020C72A">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190E2D3A">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1658DE63">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3649CF5B">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4A69DA9D">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3841AA8A">
            <w:pPr>
              <w:pStyle w:val="23"/>
              <w:bidi w:val="0"/>
              <w:ind w:firstLine="0" w:firstLineChars="0"/>
              <w:jc w:val="center"/>
              <w:rPr>
                <w:rFonts w:ascii="Tahoma" w:hAnsi="Tahoma" w:eastAsia="微软雅黑" w:cs="Times New Roman"/>
                <w:snapToGrid/>
                <w:color w:val="auto"/>
                <w:kern w:val="2"/>
                <w:sz w:val="15"/>
                <w:szCs w:val="15"/>
                <w:lang w:eastAsia="zh-CN"/>
              </w:rPr>
            </w:pPr>
          </w:p>
        </w:tc>
      </w:tr>
      <w:tr w14:paraId="5D2478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23" w:hRule="atLeast"/>
          <w:jc w:val="center"/>
        </w:trPr>
        <w:tc>
          <w:tcPr>
            <w:tcW w:w="598" w:type="dxa"/>
            <w:gridSpan w:val="2"/>
            <w:vMerge w:val="continue"/>
            <w:noWrap w:val="0"/>
            <w:tcMar>
              <w:left w:w="57" w:type="dxa"/>
              <w:right w:w="57" w:type="dxa"/>
            </w:tcMar>
            <w:vAlign w:val="center"/>
          </w:tcPr>
          <w:p w14:paraId="3DEA7B0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96" w:type="dxa"/>
            <w:gridSpan w:val="2"/>
            <w:noWrap w:val="0"/>
            <w:tcMar>
              <w:left w:w="57" w:type="dxa"/>
              <w:right w:w="57" w:type="dxa"/>
            </w:tcMar>
            <w:vAlign w:val="center"/>
          </w:tcPr>
          <w:p w14:paraId="2A391043">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828" w:type="dxa"/>
            <w:noWrap w:val="0"/>
            <w:tcMar>
              <w:left w:w="57" w:type="dxa"/>
              <w:right w:w="57" w:type="dxa"/>
            </w:tcMar>
            <w:vAlign w:val="center"/>
          </w:tcPr>
          <w:p w14:paraId="05F080EC">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2492E54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2C60B373">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0F22C09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396A149F">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4A8F4598">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1B11011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37B01C2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2C85C0B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59E4A814">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4B3371BF">
            <w:pPr>
              <w:kinsoku/>
              <w:autoSpaceDE/>
              <w:autoSpaceDN/>
              <w:spacing w:after="0" w:afterLines="0" w:line="240" w:lineRule="auto"/>
              <w:ind w:firstLine="0" w:firstLineChars="0"/>
              <w:jc w:val="center"/>
              <w:textAlignment w:val="center"/>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06C9DFBB">
            <w:pPr>
              <w:kinsoku/>
              <w:autoSpaceDE/>
              <w:autoSpaceDN/>
              <w:spacing w:after="0" w:afterLines="0" w:line="240" w:lineRule="auto"/>
              <w:ind w:firstLine="0" w:firstLineChars="0"/>
              <w:jc w:val="center"/>
              <w:textAlignment w:val="center"/>
              <w:rPr>
                <w:rFonts w:ascii="Tahoma" w:hAnsi="Tahoma" w:eastAsia="微软雅黑" w:cs="Times New Roman"/>
                <w:snapToGrid/>
                <w:color w:val="auto"/>
                <w:kern w:val="2"/>
                <w:sz w:val="15"/>
                <w:szCs w:val="15"/>
                <w:lang w:eastAsia="zh-CN"/>
              </w:rPr>
            </w:pPr>
          </w:p>
        </w:tc>
      </w:tr>
      <w:tr w14:paraId="6A6B0A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12" w:hRule="atLeast"/>
          <w:jc w:val="center"/>
        </w:trPr>
        <w:tc>
          <w:tcPr>
            <w:tcW w:w="598" w:type="dxa"/>
            <w:gridSpan w:val="2"/>
            <w:vMerge w:val="continue"/>
            <w:noWrap w:val="0"/>
            <w:tcMar>
              <w:left w:w="57" w:type="dxa"/>
              <w:right w:w="57" w:type="dxa"/>
            </w:tcMar>
            <w:vAlign w:val="center"/>
          </w:tcPr>
          <w:p w14:paraId="541322C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96" w:type="dxa"/>
            <w:gridSpan w:val="2"/>
            <w:noWrap w:val="0"/>
            <w:tcMar>
              <w:left w:w="57" w:type="dxa"/>
              <w:right w:w="57" w:type="dxa"/>
            </w:tcMar>
            <w:vAlign w:val="center"/>
          </w:tcPr>
          <w:p w14:paraId="1EB6C366">
            <w:pPr>
              <w:kinsoku/>
              <w:autoSpaceDE/>
              <w:autoSpaceDN/>
              <w:spacing w:after="0" w:afterLines="0" w:line="240" w:lineRule="auto"/>
              <w:ind w:firstLine="0" w:firstLineChars="0"/>
              <w:jc w:val="center"/>
              <w:textAlignment w:val="auto"/>
              <w:rPr>
                <w:rFonts w:ascii="Tahoma" w:hAnsi="Tahoma" w:eastAsia="黑体" w:cs="Times New Roman"/>
                <w:b/>
                <w:snapToGrid/>
                <w:color w:val="auto"/>
                <w:kern w:val="2"/>
                <w:sz w:val="15"/>
                <w:szCs w:val="15"/>
                <w:lang w:eastAsia="zh-CN"/>
              </w:rPr>
            </w:pPr>
          </w:p>
        </w:tc>
        <w:tc>
          <w:tcPr>
            <w:tcW w:w="828" w:type="dxa"/>
            <w:noWrap w:val="0"/>
            <w:tcMar>
              <w:left w:w="57" w:type="dxa"/>
              <w:right w:w="57" w:type="dxa"/>
            </w:tcMar>
            <w:vAlign w:val="center"/>
          </w:tcPr>
          <w:p w14:paraId="7D071038">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23AB3FB3">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7B04552B">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34F29DAE">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7B0D455B">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763F1C39">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350112F1">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0243F614">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76736949">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46A69146">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73A99B1B">
            <w:pPr>
              <w:pStyle w:val="23"/>
              <w:bidi w:val="0"/>
              <w:ind w:firstLine="0" w:firstLineChars="0"/>
              <w:jc w:val="center"/>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6AD8B575">
            <w:pPr>
              <w:pStyle w:val="23"/>
              <w:bidi w:val="0"/>
              <w:ind w:firstLine="0" w:firstLineChars="0"/>
              <w:jc w:val="center"/>
              <w:rPr>
                <w:rFonts w:ascii="Tahoma" w:hAnsi="Tahoma" w:eastAsia="微软雅黑" w:cs="Times New Roman"/>
                <w:snapToGrid/>
                <w:color w:val="auto"/>
                <w:kern w:val="2"/>
                <w:sz w:val="15"/>
                <w:szCs w:val="15"/>
                <w:lang w:eastAsia="zh-CN"/>
              </w:rPr>
            </w:pPr>
          </w:p>
        </w:tc>
      </w:tr>
      <w:tr w14:paraId="2C6B0A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598" w:type="dxa"/>
            <w:gridSpan w:val="2"/>
            <w:vMerge w:val="continue"/>
            <w:noWrap w:val="0"/>
            <w:tcMar>
              <w:left w:w="57" w:type="dxa"/>
              <w:right w:w="57" w:type="dxa"/>
            </w:tcMar>
            <w:vAlign w:val="center"/>
          </w:tcPr>
          <w:p w14:paraId="154EAC7F">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28" w:type="dxa"/>
            <w:vMerge w:val="restart"/>
            <w:noWrap w:val="0"/>
            <w:tcMar>
              <w:left w:w="57" w:type="dxa"/>
              <w:right w:w="57" w:type="dxa"/>
            </w:tcMar>
            <w:vAlign w:val="center"/>
          </w:tcPr>
          <w:p w14:paraId="7180549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568" w:type="dxa"/>
            <w:noWrap w:val="0"/>
            <w:tcMar>
              <w:left w:w="57" w:type="dxa"/>
              <w:right w:w="57" w:type="dxa"/>
            </w:tcMar>
            <w:vAlign w:val="center"/>
          </w:tcPr>
          <w:p w14:paraId="019FEF6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28" w:type="dxa"/>
            <w:noWrap w:val="0"/>
            <w:tcMar>
              <w:left w:w="57" w:type="dxa"/>
              <w:right w:w="57" w:type="dxa"/>
            </w:tcMar>
            <w:vAlign w:val="center"/>
          </w:tcPr>
          <w:p w14:paraId="789BB09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0FFEDCB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494913B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5960B0E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0FEAADD1">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1CCE801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5B7BFB9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605E389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2B9A1B6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492B0EE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332AFC25">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5094EA05">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0F6151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9" w:hRule="atLeast"/>
          <w:jc w:val="center"/>
        </w:trPr>
        <w:tc>
          <w:tcPr>
            <w:tcW w:w="598" w:type="dxa"/>
            <w:gridSpan w:val="2"/>
            <w:vMerge w:val="continue"/>
            <w:noWrap w:val="0"/>
            <w:tcMar>
              <w:left w:w="57" w:type="dxa"/>
              <w:right w:w="57" w:type="dxa"/>
            </w:tcMar>
            <w:vAlign w:val="center"/>
          </w:tcPr>
          <w:p w14:paraId="25899F11">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28" w:type="dxa"/>
            <w:vMerge w:val="continue"/>
            <w:noWrap w:val="0"/>
            <w:tcMar>
              <w:left w:w="57" w:type="dxa"/>
              <w:right w:w="57" w:type="dxa"/>
            </w:tcMar>
            <w:vAlign w:val="center"/>
          </w:tcPr>
          <w:p w14:paraId="67FC6763">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568" w:type="dxa"/>
            <w:noWrap w:val="0"/>
            <w:tcMar>
              <w:left w:w="57" w:type="dxa"/>
              <w:right w:w="57" w:type="dxa"/>
            </w:tcMar>
            <w:vAlign w:val="center"/>
          </w:tcPr>
          <w:p w14:paraId="56DB617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28" w:type="dxa"/>
            <w:noWrap w:val="0"/>
            <w:tcMar>
              <w:left w:w="57" w:type="dxa"/>
              <w:right w:w="57" w:type="dxa"/>
            </w:tcMar>
            <w:vAlign w:val="center"/>
          </w:tcPr>
          <w:p w14:paraId="7236C26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65FA7FE5">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4DBA27A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5AA6C7AC">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5E87B84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5E0100A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07137D8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73BEAA87">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05E5315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01E381B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68776FAE">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6AE6E3B2">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r w14:paraId="0F351F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236" w:hRule="atLeast"/>
          <w:jc w:val="center"/>
        </w:trPr>
        <w:tc>
          <w:tcPr>
            <w:tcW w:w="598" w:type="dxa"/>
            <w:gridSpan w:val="2"/>
            <w:vMerge w:val="continue"/>
            <w:noWrap w:val="0"/>
            <w:tcMar>
              <w:left w:w="57" w:type="dxa"/>
              <w:right w:w="57" w:type="dxa"/>
            </w:tcMar>
            <w:vAlign w:val="center"/>
          </w:tcPr>
          <w:p w14:paraId="5851E70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28" w:type="dxa"/>
            <w:vMerge w:val="continue"/>
            <w:noWrap w:val="0"/>
            <w:tcMar>
              <w:left w:w="57" w:type="dxa"/>
              <w:right w:w="57" w:type="dxa"/>
            </w:tcMar>
            <w:vAlign w:val="center"/>
          </w:tcPr>
          <w:p w14:paraId="14612131">
            <w:pPr>
              <w:kinsoku/>
              <w:autoSpaceDE/>
              <w:autoSpaceDN/>
              <w:spacing w:after="0" w:afterLines="0" w:line="240" w:lineRule="auto"/>
              <w:ind w:firstLine="0" w:firstLineChars="0"/>
              <w:jc w:val="center"/>
              <w:textAlignment w:val="auto"/>
              <w:rPr>
                <w:rFonts w:ascii="Tahoma" w:hAnsi="Tahoma" w:eastAsia="微软雅黑" w:cs="Times New Roman"/>
                <w:b/>
                <w:snapToGrid/>
                <w:color w:val="auto"/>
                <w:kern w:val="2"/>
                <w:sz w:val="15"/>
                <w:szCs w:val="15"/>
                <w:lang w:eastAsia="zh-CN"/>
              </w:rPr>
            </w:pPr>
          </w:p>
        </w:tc>
        <w:tc>
          <w:tcPr>
            <w:tcW w:w="568" w:type="dxa"/>
            <w:noWrap w:val="0"/>
            <w:tcMar>
              <w:left w:w="57" w:type="dxa"/>
              <w:right w:w="57" w:type="dxa"/>
            </w:tcMar>
            <w:vAlign w:val="center"/>
          </w:tcPr>
          <w:p w14:paraId="7B7A5C6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28" w:type="dxa"/>
            <w:noWrap w:val="0"/>
            <w:tcMar>
              <w:left w:w="57" w:type="dxa"/>
              <w:right w:w="57" w:type="dxa"/>
            </w:tcMar>
            <w:vAlign w:val="center"/>
          </w:tcPr>
          <w:p w14:paraId="208D2EBD">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379" w:type="dxa"/>
            <w:noWrap w:val="0"/>
            <w:tcMar>
              <w:left w:w="57" w:type="dxa"/>
              <w:right w:w="57" w:type="dxa"/>
            </w:tcMar>
            <w:vAlign w:val="center"/>
          </w:tcPr>
          <w:p w14:paraId="18219909">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7" w:type="dxa"/>
            <w:noWrap w:val="0"/>
            <w:tcMar>
              <w:left w:w="57" w:type="dxa"/>
              <w:right w:w="57" w:type="dxa"/>
            </w:tcMar>
            <w:vAlign w:val="center"/>
          </w:tcPr>
          <w:p w14:paraId="576474A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993" w:type="dxa"/>
            <w:gridSpan w:val="2"/>
            <w:noWrap w:val="0"/>
            <w:tcMar>
              <w:left w:w="57" w:type="dxa"/>
              <w:right w:w="57" w:type="dxa"/>
            </w:tcMar>
            <w:vAlign w:val="center"/>
          </w:tcPr>
          <w:p w14:paraId="605159EA">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099" w:type="dxa"/>
            <w:gridSpan w:val="2"/>
            <w:noWrap w:val="0"/>
            <w:tcMar>
              <w:left w:w="57" w:type="dxa"/>
              <w:right w:w="57" w:type="dxa"/>
            </w:tcMar>
            <w:vAlign w:val="center"/>
          </w:tcPr>
          <w:p w14:paraId="4DA8529B">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37" w:type="dxa"/>
            <w:noWrap w:val="0"/>
            <w:tcMar>
              <w:left w:w="57" w:type="dxa"/>
              <w:right w:w="57" w:type="dxa"/>
            </w:tcMar>
            <w:vAlign w:val="center"/>
          </w:tcPr>
          <w:p w14:paraId="5F969C84">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89" w:type="dxa"/>
            <w:noWrap w:val="0"/>
            <w:tcMar>
              <w:left w:w="57" w:type="dxa"/>
              <w:right w:w="57" w:type="dxa"/>
            </w:tcMar>
            <w:vAlign w:val="center"/>
          </w:tcPr>
          <w:p w14:paraId="114BD69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730" w:type="dxa"/>
            <w:noWrap w:val="0"/>
            <w:tcMar>
              <w:left w:w="57" w:type="dxa"/>
              <w:right w:w="57" w:type="dxa"/>
            </w:tcMar>
            <w:vAlign w:val="center"/>
          </w:tcPr>
          <w:p w14:paraId="0283388E">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890" w:type="dxa"/>
            <w:noWrap w:val="0"/>
            <w:tcMar>
              <w:left w:w="57" w:type="dxa"/>
              <w:right w:w="57" w:type="dxa"/>
            </w:tcMar>
            <w:vAlign w:val="center"/>
          </w:tcPr>
          <w:p w14:paraId="21C894E0">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244" w:type="dxa"/>
            <w:gridSpan w:val="2"/>
            <w:noWrap w:val="0"/>
            <w:tcMar>
              <w:left w:w="57" w:type="dxa"/>
              <w:right w:w="57" w:type="dxa"/>
            </w:tcMar>
            <w:vAlign w:val="center"/>
          </w:tcPr>
          <w:p w14:paraId="6731C6C6">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1102" w:type="dxa"/>
            <w:gridSpan w:val="2"/>
            <w:noWrap w:val="0"/>
            <w:tcMar>
              <w:left w:w="57" w:type="dxa"/>
              <w:right w:w="57" w:type="dxa"/>
            </w:tcMar>
            <w:vAlign w:val="center"/>
          </w:tcPr>
          <w:p w14:paraId="5B02C118">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c>
          <w:tcPr>
            <w:tcW w:w="794" w:type="dxa"/>
            <w:noWrap w:val="0"/>
            <w:tcMar>
              <w:left w:w="57" w:type="dxa"/>
              <w:right w:w="57" w:type="dxa"/>
            </w:tcMar>
            <w:vAlign w:val="center"/>
          </w:tcPr>
          <w:p w14:paraId="5643851E">
            <w:pPr>
              <w:kinsoku/>
              <w:autoSpaceDE/>
              <w:autoSpaceDN/>
              <w:spacing w:after="0" w:afterLines="0" w:line="240" w:lineRule="auto"/>
              <w:ind w:firstLine="0" w:firstLineChars="0"/>
              <w:jc w:val="center"/>
              <w:textAlignment w:val="auto"/>
              <w:rPr>
                <w:rFonts w:ascii="Tahoma" w:hAnsi="Tahoma" w:eastAsia="微软雅黑" w:cs="Times New Roman"/>
                <w:snapToGrid/>
                <w:color w:val="auto"/>
                <w:kern w:val="2"/>
                <w:sz w:val="15"/>
                <w:szCs w:val="15"/>
                <w:lang w:eastAsia="zh-CN"/>
              </w:rPr>
            </w:pPr>
          </w:p>
        </w:tc>
      </w:tr>
    </w:tbl>
    <w:p w14:paraId="2F68A62C">
      <w:pPr>
        <w:keepNext w:val="0"/>
        <w:keepLines w:val="0"/>
        <w:pageBreakBefore w:val="0"/>
        <w:widowControl/>
        <w:kinsoku w:val="0"/>
        <w:wordWrap/>
        <w:overflowPunct/>
        <w:topLinePunct w:val="0"/>
        <w:autoSpaceDE/>
        <w:autoSpaceDN/>
        <w:bidi w:val="0"/>
        <w:adjustRightInd w:val="0"/>
        <w:snapToGrid w:val="0"/>
        <w:spacing w:line="240" w:lineRule="auto"/>
        <w:textAlignment w:val="baseline"/>
        <w:rPr>
          <w:rFonts w:hint="default"/>
          <w:color w:val="auto"/>
          <w:lang w:val="en-US" w:eastAsia="zh-CN"/>
        </w:rPr>
      </w:pPr>
      <w:r>
        <w:rPr>
          <w:rFonts w:ascii="Tahoma" w:hAnsi="Tahoma" w:eastAsia="微软雅黑" w:cs="Times New Roman"/>
          <w:b/>
          <w:snapToGrid/>
          <w:color w:val="auto"/>
          <w:kern w:val="0"/>
          <w:sz w:val="15"/>
          <w:szCs w:val="15"/>
          <w:lang w:eastAsia="zh-CN"/>
        </w:rPr>
        <w:t>注</w:t>
      </w:r>
      <w:r>
        <w:rPr>
          <w:rFonts w:ascii="Tahoma" w:hAnsi="Tahoma" w:eastAsia="微软雅黑" w:cs="Times New Roman"/>
          <w:snapToGrid/>
          <w:color w:val="auto"/>
          <w:kern w:val="0"/>
          <w:sz w:val="15"/>
          <w:szCs w:val="15"/>
          <w:lang w:eastAsia="zh-CN"/>
        </w:rPr>
        <w:t>：1、</w:t>
      </w:r>
      <w:r>
        <w:rPr>
          <w:rFonts w:ascii="Tahoma" w:hAnsi="Tahoma" w:eastAsia="微软雅黑" w:cs="Times New Roman"/>
          <w:snapToGrid/>
          <w:color w:val="auto"/>
          <w:spacing w:val="-4"/>
          <w:kern w:val="0"/>
          <w:sz w:val="15"/>
          <w:szCs w:val="15"/>
          <w:lang w:eastAsia="zh-CN"/>
        </w:rPr>
        <w:t>排放增减量：（+）表示增加，（-）表示减少。2、(12)=(6)-(8)-(11)，（9）= (4)-(5)-(8)- (11) +（1）。3、计量单位：废水排放量——万吨/年；废气排放量——万标立方米/年；工业固体废物排放</w:t>
      </w:r>
      <w:r>
        <w:rPr>
          <w:rFonts w:ascii="Tahoma" w:hAnsi="Tahoma" w:eastAsia="微软雅黑" w:cs="Times New Roman"/>
          <w:snapToGrid/>
          <w:color w:val="auto"/>
          <w:kern w:val="0"/>
          <w:sz w:val="15"/>
          <w:szCs w:val="15"/>
          <w:lang w:eastAsia="zh-CN"/>
        </w:rPr>
        <w:t>量——万吨/年；水污染物排放浓度——毫克/升</w:t>
      </w:r>
      <w:bookmarkStart w:id="74" w:name="bookmark41"/>
      <w:bookmarkEnd w:id="74"/>
      <w:bookmarkStart w:id="75" w:name="bookmark42"/>
      <w:bookmarkEnd w:id="75"/>
    </w:p>
    <w:sectPr>
      <w:pgSz w:w="16841" w:h="11912" w:orient="landscape"/>
      <w:pgMar w:top="1134" w:right="1134" w:bottom="1134" w:left="1134" w:header="1078" w:footer="1121"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swiss"/>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新魏">
    <w:panose1 w:val="02010800040101010101"/>
    <w:charset w:val="86"/>
    <w:family w:val="auto"/>
    <w:pitch w:val="default"/>
    <w:sig w:usb0="00000001" w:usb1="080F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B879D">
    <w:pPr>
      <w:spacing w:line="170" w:lineRule="auto"/>
      <w:rPr>
        <w:rFonts w:ascii="宋体" w:hAnsi="宋体" w:eastAsia="宋体" w:cs="宋体"/>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652635">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8652635">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4A7A9A">
    <w:pPr>
      <w:spacing w:line="170" w:lineRule="auto"/>
      <w:ind w:left="6971"/>
      <w:rPr>
        <w:rFonts w:ascii="宋体" w:hAnsi="宋体" w:eastAsia="宋体" w:cs="宋体"/>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4B5831">
                          <w:pPr>
                            <w:pStyle w:val="9"/>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14:paraId="6D4B5831">
                    <w:pPr>
                      <w:pStyle w:val="9"/>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ECDC0">
    <w:pPr>
      <w:spacing w:line="171" w:lineRule="auto"/>
      <w:ind w:left="4833"/>
      <w:rPr>
        <w:rFonts w:ascii="宋体" w:hAnsi="宋体" w:eastAsia="宋体" w:cs="宋体"/>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07D3F6">
                          <w:pPr>
                            <w:pStyle w:val="9"/>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14:paraId="3807D3F6">
                    <w:pPr>
                      <w:pStyle w:val="9"/>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14B9B">
    <w:pPr>
      <w:spacing w:line="170" w:lineRule="auto"/>
      <w:ind w:left="4824"/>
      <w:rPr>
        <w:rFonts w:ascii="宋体" w:hAnsi="宋体" w:eastAsia="宋体" w:cs="宋体"/>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1FA13B">
                          <w:pPr>
                            <w:pStyle w:val="9"/>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14:paraId="501FA13B">
                    <w:pPr>
                      <w:pStyle w:val="9"/>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A034A4">
    <w:pPr>
      <w:spacing w:line="170" w:lineRule="auto"/>
      <w:ind w:left="4823"/>
      <w:rPr>
        <w:rFonts w:ascii="宋体" w:hAnsi="宋体" w:eastAsia="宋体" w:cs="宋体"/>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1C3252">
                          <w:pPr>
                            <w:pStyle w:val="9"/>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14:paraId="171C3252">
                    <w:pPr>
                      <w:pStyle w:val="9"/>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5B2A0">
    <w:pPr>
      <w:spacing w:line="170" w:lineRule="auto"/>
      <w:ind w:left="4819"/>
      <w:rPr>
        <w:rFonts w:ascii="宋体" w:hAnsi="宋体" w:eastAsia="宋体" w:cs="宋体"/>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B769F">
                          <w:pPr>
                            <w:pStyle w:val="9"/>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14:paraId="578B769F">
                    <w:pPr>
                      <w:pStyle w:val="9"/>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62C0A">
    <w:pPr>
      <w:spacing w:line="171" w:lineRule="auto"/>
      <w:ind w:left="4833"/>
      <w:rPr>
        <w:rFonts w:ascii="宋体" w:hAnsi="宋体" w:eastAsia="宋体" w:cs="宋体"/>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CC4103">
                          <w:pPr>
                            <w:pStyle w:val="9"/>
                          </w:pPr>
                          <w:r>
                            <w:fldChar w:fldCharType="begin"/>
                          </w:r>
                          <w:r>
                            <w:instrText xml:space="preserve"> PAGE  \* MERGEFORMAT </w:instrText>
                          </w:r>
                          <w:r>
                            <w:fldChar w:fldCharType="separate"/>
                          </w:r>
                          <w:r>
                            <w:t>158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Juxs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Em7GzICAABjBAAADgAAAAAAAAABACAAAAAfAQAAZHJzL2Uyb0RvYy54bWxQSwUG&#10;AAAAAAYABgBZAQAAwwUAAAAA&#10;">
              <v:fill on="f" focussize="0,0"/>
              <v:stroke on="f" weight="0.5pt"/>
              <v:imagedata o:title=""/>
              <o:lock v:ext="edit" aspectratio="f"/>
              <v:textbox inset="0mm,0mm,0mm,0mm" style="mso-fit-shape-to-text:t;">
                <w:txbxContent>
                  <w:p w14:paraId="1DCC4103">
                    <w:pPr>
                      <w:pStyle w:val="9"/>
                    </w:pPr>
                    <w:r>
                      <w:fldChar w:fldCharType="begin"/>
                    </w:r>
                    <w:r>
                      <w:instrText xml:space="preserve"> PAGE  \* MERGEFORMAT </w:instrText>
                    </w:r>
                    <w:r>
                      <w:fldChar w:fldCharType="separate"/>
                    </w:r>
                    <w:r>
                      <w:t>158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2F28E">
    <w:pPr>
      <w:tabs>
        <w:tab w:val="left" w:pos="658"/>
      </w:tabs>
      <w:spacing w:line="240" w:lineRule="exact"/>
      <w:ind w:firstLine="0" w:firstLineChars="0"/>
      <w:rPr>
        <w:rFonts w:ascii="宋体" w:hAnsi="宋体" w:eastAsia="宋体" w:cs="宋体"/>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6A7E8">
    <w:pPr>
      <w:tabs>
        <w:tab w:val="left" w:pos="658"/>
      </w:tabs>
      <w:spacing w:line="240" w:lineRule="auto"/>
      <w:ind w:firstLine="0" w:firstLineChars="0"/>
      <w:rPr>
        <w:rFonts w:ascii="宋体" w:hAnsi="宋体" w:eastAsia="宋体" w:cs="宋体"/>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B22CB">
    <w:pPr>
      <w:tabs>
        <w:tab w:val="left" w:pos="2762"/>
      </w:tabs>
      <w:spacing w:line="176" w:lineRule="auto"/>
      <w:rPr>
        <w:rFonts w:ascii="宋体" w:hAnsi="宋体" w:eastAsia="宋体" w:cs="宋体"/>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895E4">
    <w:pPr>
      <w:pStyle w:val="10"/>
      <w:ind w:firstLine="0" w:firstLineChars="0"/>
      <w:rPr>
        <w:rFonts w:ascii="宋体" w:hAnsi="宋体" w:eastAsia="宋体" w:cs="宋体"/>
        <w:sz w:val="21"/>
        <w:szCs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3BB75">
    <w:pPr>
      <w:pStyle w:val="10"/>
      <w:ind w:left="0" w:leftChars="0" w:firstLine="0" w:firstLineChars="0"/>
      <w:rPr>
        <w:rFonts w:ascii="宋体" w:hAnsi="宋体" w:eastAsia="宋体" w:cs="宋体"/>
        <w:sz w:val="21"/>
        <w:szCs w:val="21"/>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1086D">
    <w:pPr>
      <w:pStyle w:val="10"/>
      <w:ind w:firstLine="0" w:firstLineChars="0"/>
      <w:rPr>
        <w:rFonts w:ascii="宋体" w:hAnsi="宋体" w:eastAsia="宋体" w:cs="宋体"/>
        <w:sz w:val="21"/>
        <w:szCs w:val="21"/>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BEFA5">
    <w:pPr>
      <w:pStyle w:val="10"/>
      <w:ind w:firstLine="0" w:firstLineChars="0"/>
      <w:rPr>
        <w:rFonts w:ascii="宋体" w:hAnsi="宋体" w:eastAsia="宋体" w:cs="宋体"/>
        <w:sz w:val="21"/>
        <w:szCs w:val="21"/>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A661C">
    <w:pPr>
      <w:pStyle w:val="10"/>
      <w:ind w:left="0" w:leftChars="0" w:firstLine="0" w:firstLineChars="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zJhMmM1ZTFhYWRkOTU3Y2FiZGM3YmY3NzQ5YzZjNmMifQ=="/>
  </w:docVars>
  <w:rsids>
    <w:rsidRoot w:val="00172A27"/>
    <w:rsid w:val="00043144"/>
    <w:rsid w:val="000C1FF9"/>
    <w:rsid w:val="00150EAD"/>
    <w:rsid w:val="00164C26"/>
    <w:rsid w:val="003775B4"/>
    <w:rsid w:val="005114EB"/>
    <w:rsid w:val="00515C5E"/>
    <w:rsid w:val="005C0D9C"/>
    <w:rsid w:val="005D178D"/>
    <w:rsid w:val="005E2A20"/>
    <w:rsid w:val="00671588"/>
    <w:rsid w:val="006770AF"/>
    <w:rsid w:val="00725A36"/>
    <w:rsid w:val="007402CA"/>
    <w:rsid w:val="007D6A53"/>
    <w:rsid w:val="00820937"/>
    <w:rsid w:val="00882A3D"/>
    <w:rsid w:val="00894211"/>
    <w:rsid w:val="00897C9B"/>
    <w:rsid w:val="00902C2A"/>
    <w:rsid w:val="009269A2"/>
    <w:rsid w:val="00975C35"/>
    <w:rsid w:val="00A42231"/>
    <w:rsid w:val="00A566D5"/>
    <w:rsid w:val="00AC3235"/>
    <w:rsid w:val="00B4355E"/>
    <w:rsid w:val="00BA7CA7"/>
    <w:rsid w:val="00C528D4"/>
    <w:rsid w:val="00C84172"/>
    <w:rsid w:val="00CB5CBF"/>
    <w:rsid w:val="00CD46AB"/>
    <w:rsid w:val="00D40601"/>
    <w:rsid w:val="00D647FE"/>
    <w:rsid w:val="00DD6189"/>
    <w:rsid w:val="00DE1BE7"/>
    <w:rsid w:val="00E075C8"/>
    <w:rsid w:val="010333FC"/>
    <w:rsid w:val="01066A48"/>
    <w:rsid w:val="010F1DA1"/>
    <w:rsid w:val="01122E8B"/>
    <w:rsid w:val="012F060F"/>
    <w:rsid w:val="01331E4F"/>
    <w:rsid w:val="01394475"/>
    <w:rsid w:val="014D0B1B"/>
    <w:rsid w:val="01505F15"/>
    <w:rsid w:val="0164222D"/>
    <w:rsid w:val="01656096"/>
    <w:rsid w:val="016E2F6B"/>
    <w:rsid w:val="017219E3"/>
    <w:rsid w:val="01750789"/>
    <w:rsid w:val="017B5688"/>
    <w:rsid w:val="018F4C90"/>
    <w:rsid w:val="019127B6"/>
    <w:rsid w:val="01997563"/>
    <w:rsid w:val="019E1F5B"/>
    <w:rsid w:val="01AF70E0"/>
    <w:rsid w:val="01AF7DBD"/>
    <w:rsid w:val="01B067E1"/>
    <w:rsid w:val="01C26E13"/>
    <w:rsid w:val="01C6253C"/>
    <w:rsid w:val="01E0373D"/>
    <w:rsid w:val="01E74ACC"/>
    <w:rsid w:val="01EC0334"/>
    <w:rsid w:val="01FF0067"/>
    <w:rsid w:val="0202673A"/>
    <w:rsid w:val="02070CCA"/>
    <w:rsid w:val="02076F1C"/>
    <w:rsid w:val="020922FC"/>
    <w:rsid w:val="02094A42"/>
    <w:rsid w:val="0216715F"/>
    <w:rsid w:val="021B2CFC"/>
    <w:rsid w:val="0224362A"/>
    <w:rsid w:val="02372EAB"/>
    <w:rsid w:val="02385327"/>
    <w:rsid w:val="024141DC"/>
    <w:rsid w:val="024261A6"/>
    <w:rsid w:val="024C0DD3"/>
    <w:rsid w:val="02753E85"/>
    <w:rsid w:val="027D71DE"/>
    <w:rsid w:val="02814F7F"/>
    <w:rsid w:val="02820840"/>
    <w:rsid w:val="02834CB7"/>
    <w:rsid w:val="02881E0B"/>
    <w:rsid w:val="028E3199"/>
    <w:rsid w:val="02900890"/>
    <w:rsid w:val="02954528"/>
    <w:rsid w:val="029702A0"/>
    <w:rsid w:val="02A77C8C"/>
    <w:rsid w:val="02AE0449"/>
    <w:rsid w:val="02AF47BD"/>
    <w:rsid w:val="02AF690D"/>
    <w:rsid w:val="02BD2DDC"/>
    <w:rsid w:val="02C037DA"/>
    <w:rsid w:val="02C362B3"/>
    <w:rsid w:val="02D52B76"/>
    <w:rsid w:val="02D908B8"/>
    <w:rsid w:val="02E37760"/>
    <w:rsid w:val="02E524F4"/>
    <w:rsid w:val="02EC2996"/>
    <w:rsid w:val="02EF7EA7"/>
    <w:rsid w:val="02F1546E"/>
    <w:rsid w:val="02FC45A7"/>
    <w:rsid w:val="02FF56FA"/>
    <w:rsid w:val="030376E3"/>
    <w:rsid w:val="030727B5"/>
    <w:rsid w:val="03082F4B"/>
    <w:rsid w:val="031511C4"/>
    <w:rsid w:val="0317318F"/>
    <w:rsid w:val="031B2C7F"/>
    <w:rsid w:val="031C3A0A"/>
    <w:rsid w:val="031D1140"/>
    <w:rsid w:val="03223A5F"/>
    <w:rsid w:val="0328714A"/>
    <w:rsid w:val="032A783D"/>
    <w:rsid w:val="032E1CA1"/>
    <w:rsid w:val="033738C7"/>
    <w:rsid w:val="033B3004"/>
    <w:rsid w:val="033C2BF5"/>
    <w:rsid w:val="033D2C87"/>
    <w:rsid w:val="034122DA"/>
    <w:rsid w:val="034A38E6"/>
    <w:rsid w:val="034A5312"/>
    <w:rsid w:val="034A5830"/>
    <w:rsid w:val="034A70C0"/>
    <w:rsid w:val="034C72DC"/>
    <w:rsid w:val="034E17CF"/>
    <w:rsid w:val="034F4BFC"/>
    <w:rsid w:val="035D3297"/>
    <w:rsid w:val="03630182"/>
    <w:rsid w:val="03634626"/>
    <w:rsid w:val="036839EA"/>
    <w:rsid w:val="036D2DAF"/>
    <w:rsid w:val="037411AB"/>
    <w:rsid w:val="03764284"/>
    <w:rsid w:val="03855DF8"/>
    <w:rsid w:val="038F71C9"/>
    <w:rsid w:val="039E635A"/>
    <w:rsid w:val="03AA5DB1"/>
    <w:rsid w:val="03AF1619"/>
    <w:rsid w:val="03AF786B"/>
    <w:rsid w:val="03B34462"/>
    <w:rsid w:val="03B804CE"/>
    <w:rsid w:val="03BA6BC3"/>
    <w:rsid w:val="03BF63CA"/>
    <w:rsid w:val="03C67B8F"/>
    <w:rsid w:val="03D746CC"/>
    <w:rsid w:val="03E80687"/>
    <w:rsid w:val="03F243D6"/>
    <w:rsid w:val="03F4702C"/>
    <w:rsid w:val="04045A8D"/>
    <w:rsid w:val="040E27E3"/>
    <w:rsid w:val="040E4053"/>
    <w:rsid w:val="04114082"/>
    <w:rsid w:val="04125833"/>
    <w:rsid w:val="04137DFA"/>
    <w:rsid w:val="041F054D"/>
    <w:rsid w:val="04267B2D"/>
    <w:rsid w:val="04275653"/>
    <w:rsid w:val="042D3F5F"/>
    <w:rsid w:val="0432329F"/>
    <w:rsid w:val="04467C44"/>
    <w:rsid w:val="04497264"/>
    <w:rsid w:val="044B1342"/>
    <w:rsid w:val="04543ED4"/>
    <w:rsid w:val="045A77D7"/>
    <w:rsid w:val="0460340A"/>
    <w:rsid w:val="046061F2"/>
    <w:rsid w:val="04617213"/>
    <w:rsid w:val="04671EF4"/>
    <w:rsid w:val="04673CA2"/>
    <w:rsid w:val="04800942"/>
    <w:rsid w:val="04801E7D"/>
    <w:rsid w:val="04820ADC"/>
    <w:rsid w:val="04841BB3"/>
    <w:rsid w:val="048E7480"/>
    <w:rsid w:val="04966335"/>
    <w:rsid w:val="049B0F9C"/>
    <w:rsid w:val="04A70542"/>
    <w:rsid w:val="04AB3B8E"/>
    <w:rsid w:val="04B50EB1"/>
    <w:rsid w:val="04BC2297"/>
    <w:rsid w:val="04C81921"/>
    <w:rsid w:val="04D07A99"/>
    <w:rsid w:val="04D330E5"/>
    <w:rsid w:val="04D97CF1"/>
    <w:rsid w:val="04DA76EC"/>
    <w:rsid w:val="04E807D8"/>
    <w:rsid w:val="04EB6681"/>
    <w:rsid w:val="04F80D9E"/>
    <w:rsid w:val="04FD0162"/>
    <w:rsid w:val="05066240"/>
    <w:rsid w:val="05087233"/>
    <w:rsid w:val="05094D59"/>
    <w:rsid w:val="051211C6"/>
    <w:rsid w:val="0526590B"/>
    <w:rsid w:val="05281683"/>
    <w:rsid w:val="052D4EEB"/>
    <w:rsid w:val="054F6FC5"/>
    <w:rsid w:val="05575CB1"/>
    <w:rsid w:val="05613043"/>
    <w:rsid w:val="05665D07"/>
    <w:rsid w:val="056A659B"/>
    <w:rsid w:val="05735B2F"/>
    <w:rsid w:val="05791EDF"/>
    <w:rsid w:val="057C377D"/>
    <w:rsid w:val="05834B0B"/>
    <w:rsid w:val="058A5E9A"/>
    <w:rsid w:val="05A056BD"/>
    <w:rsid w:val="05A131E3"/>
    <w:rsid w:val="05A420D6"/>
    <w:rsid w:val="05A50F26"/>
    <w:rsid w:val="05AA02EA"/>
    <w:rsid w:val="05B04764"/>
    <w:rsid w:val="05B95FF6"/>
    <w:rsid w:val="05BD6F8F"/>
    <w:rsid w:val="05CC43FF"/>
    <w:rsid w:val="05CD0FA3"/>
    <w:rsid w:val="05CF4485"/>
    <w:rsid w:val="05D45367"/>
    <w:rsid w:val="05D6668E"/>
    <w:rsid w:val="05E97064"/>
    <w:rsid w:val="05ED01D7"/>
    <w:rsid w:val="05FF6D42"/>
    <w:rsid w:val="06035C4C"/>
    <w:rsid w:val="06050E25"/>
    <w:rsid w:val="06055520"/>
    <w:rsid w:val="06147E59"/>
    <w:rsid w:val="061B2F96"/>
    <w:rsid w:val="061D1BCC"/>
    <w:rsid w:val="06304C93"/>
    <w:rsid w:val="06347D79"/>
    <w:rsid w:val="064424ED"/>
    <w:rsid w:val="065149C8"/>
    <w:rsid w:val="066B6311"/>
    <w:rsid w:val="06756656"/>
    <w:rsid w:val="067A137F"/>
    <w:rsid w:val="067B57E2"/>
    <w:rsid w:val="067E2606"/>
    <w:rsid w:val="06823015"/>
    <w:rsid w:val="068B3D2D"/>
    <w:rsid w:val="068C5C42"/>
    <w:rsid w:val="068C7553"/>
    <w:rsid w:val="06933D32"/>
    <w:rsid w:val="069A7723"/>
    <w:rsid w:val="069D7E4F"/>
    <w:rsid w:val="069F005B"/>
    <w:rsid w:val="06A64F55"/>
    <w:rsid w:val="06A967F3"/>
    <w:rsid w:val="06B86A37"/>
    <w:rsid w:val="06BA630B"/>
    <w:rsid w:val="06BC6527"/>
    <w:rsid w:val="06CA56B6"/>
    <w:rsid w:val="06D01FD2"/>
    <w:rsid w:val="06D73361"/>
    <w:rsid w:val="06DD024B"/>
    <w:rsid w:val="06DF5D71"/>
    <w:rsid w:val="06E23AB3"/>
    <w:rsid w:val="06E72E78"/>
    <w:rsid w:val="06F2019A"/>
    <w:rsid w:val="06F832D7"/>
    <w:rsid w:val="06FC2DC7"/>
    <w:rsid w:val="070216D2"/>
    <w:rsid w:val="07041C7C"/>
    <w:rsid w:val="07086A22"/>
    <w:rsid w:val="07091040"/>
    <w:rsid w:val="07126147"/>
    <w:rsid w:val="071874D5"/>
    <w:rsid w:val="071B513F"/>
    <w:rsid w:val="0728596A"/>
    <w:rsid w:val="072A02FF"/>
    <w:rsid w:val="072B0FB7"/>
    <w:rsid w:val="072F4F4B"/>
    <w:rsid w:val="073A38EF"/>
    <w:rsid w:val="07414C7E"/>
    <w:rsid w:val="07462294"/>
    <w:rsid w:val="075C3866"/>
    <w:rsid w:val="076444C8"/>
    <w:rsid w:val="077566D6"/>
    <w:rsid w:val="07767530"/>
    <w:rsid w:val="0779529F"/>
    <w:rsid w:val="077B2370"/>
    <w:rsid w:val="077F0204"/>
    <w:rsid w:val="0781151E"/>
    <w:rsid w:val="07886409"/>
    <w:rsid w:val="07921036"/>
    <w:rsid w:val="07A07BF6"/>
    <w:rsid w:val="07A34FF1"/>
    <w:rsid w:val="07A5520D"/>
    <w:rsid w:val="07A601E9"/>
    <w:rsid w:val="07A62D33"/>
    <w:rsid w:val="07AF6AAF"/>
    <w:rsid w:val="07B216D8"/>
    <w:rsid w:val="07BE1E2B"/>
    <w:rsid w:val="07BE62CF"/>
    <w:rsid w:val="07C22AC8"/>
    <w:rsid w:val="07C442AC"/>
    <w:rsid w:val="07C66F31"/>
    <w:rsid w:val="07C80EFB"/>
    <w:rsid w:val="07CD2084"/>
    <w:rsid w:val="07CF228A"/>
    <w:rsid w:val="07D63618"/>
    <w:rsid w:val="07D65CF5"/>
    <w:rsid w:val="07F25F78"/>
    <w:rsid w:val="07F43A9E"/>
    <w:rsid w:val="07F94DAE"/>
    <w:rsid w:val="08005C47"/>
    <w:rsid w:val="0800732B"/>
    <w:rsid w:val="0806270F"/>
    <w:rsid w:val="08070D6B"/>
    <w:rsid w:val="080724F4"/>
    <w:rsid w:val="080F08D8"/>
    <w:rsid w:val="08153DD4"/>
    <w:rsid w:val="081B727D"/>
    <w:rsid w:val="082D0D5E"/>
    <w:rsid w:val="082D6FB0"/>
    <w:rsid w:val="08381BDD"/>
    <w:rsid w:val="083E11BD"/>
    <w:rsid w:val="08431698"/>
    <w:rsid w:val="084B203D"/>
    <w:rsid w:val="084F4F9C"/>
    <w:rsid w:val="0854703B"/>
    <w:rsid w:val="08566507"/>
    <w:rsid w:val="0858227F"/>
    <w:rsid w:val="08585DDB"/>
    <w:rsid w:val="085923E2"/>
    <w:rsid w:val="08601134"/>
    <w:rsid w:val="08634DDA"/>
    <w:rsid w:val="08760957"/>
    <w:rsid w:val="087A4A36"/>
    <w:rsid w:val="087D3A94"/>
    <w:rsid w:val="088E0328"/>
    <w:rsid w:val="089B43F4"/>
    <w:rsid w:val="089D7C92"/>
    <w:rsid w:val="08A92A2A"/>
    <w:rsid w:val="08AA23AF"/>
    <w:rsid w:val="08BA0844"/>
    <w:rsid w:val="08BE59DE"/>
    <w:rsid w:val="08C07E24"/>
    <w:rsid w:val="08C571E9"/>
    <w:rsid w:val="08C57F9A"/>
    <w:rsid w:val="08C711B3"/>
    <w:rsid w:val="08C96CD9"/>
    <w:rsid w:val="08F33D56"/>
    <w:rsid w:val="08F4189D"/>
    <w:rsid w:val="08F5187C"/>
    <w:rsid w:val="09016473"/>
    <w:rsid w:val="09081222"/>
    <w:rsid w:val="09150170"/>
    <w:rsid w:val="09290516"/>
    <w:rsid w:val="093700E7"/>
    <w:rsid w:val="09414AC1"/>
    <w:rsid w:val="09490987"/>
    <w:rsid w:val="0949606C"/>
    <w:rsid w:val="095D5673"/>
    <w:rsid w:val="096133B5"/>
    <w:rsid w:val="097E5D15"/>
    <w:rsid w:val="097F4C3B"/>
    <w:rsid w:val="098552F6"/>
    <w:rsid w:val="098A46BA"/>
    <w:rsid w:val="098F56AF"/>
    <w:rsid w:val="09945539"/>
    <w:rsid w:val="0996449B"/>
    <w:rsid w:val="09975029"/>
    <w:rsid w:val="09996317"/>
    <w:rsid w:val="099E1F14"/>
    <w:rsid w:val="099E2019"/>
    <w:rsid w:val="09A068C1"/>
    <w:rsid w:val="09A4175A"/>
    <w:rsid w:val="09A87CBD"/>
    <w:rsid w:val="09AF01DC"/>
    <w:rsid w:val="09B01C47"/>
    <w:rsid w:val="09B32F8E"/>
    <w:rsid w:val="09BE1296"/>
    <w:rsid w:val="09C000DC"/>
    <w:rsid w:val="09C52784"/>
    <w:rsid w:val="09D242DF"/>
    <w:rsid w:val="09EA6F07"/>
    <w:rsid w:val="09F67FEE"/>
    <w:rsid w:val="0A081A83"/>
    <w:rsid w:val="0A091B50"/>
    <w:rsid w:val="0A0A75A9"/>
    <w:rsid w:val="0A0D7099"/>
    <w:rsid w:val="0A0F212F"/>
    <w:rsid w:val="0A2950EA"/>
    <w:rsid w:val="0A2D14EA"/>
    <w:rsid w:val="0A2E3B44"/>
    <w:rsid w:val="0A3356C5"/>
    <w:rsid w:val="0A364782"/>
    <w:rsid w:val="0A37619F"/>
    <w:rsid w:val="0A3C27E6"/>
    <w:rsid w:val="0A4E63CE"/>
    <w:rsid w:val="0A64315D"/>
    <w:rsid w:val="0A6D0DAE"/>
    <w:rsid w:val="0A6E5D8A"/>
    <w:rsid w:val="0A7B04A7"/>
    <w:rsid w:val="0A8A06EA"/>
    <w:rsid w:val="0A8D6A41"/>
    <w:rsid w:val="0A921402"/>
    <w:rsid w:val="0A951569"/>
    <w:rsid w:val="0A965BC5"/>
    <w:rsid w:val="0A980289"/>
    <w:rsid w:val="0A9B0ECC"/>
    <w:rsid w:val="0A9F5608"/>
    <w:rsid w:val="0AA44D6C"/>
    <w:rsid w:val="0AB13EC9"/>
    <w:rsid w:val="0AB30291"/>
    <w:rsid w:val="0ABD1C25"/>
    <w:rsid w:val="0ABE7D56"/>
    <w:rsid w:val="0AC260D6"/>
    <w:rsid w:val="0ACC35A2"/>
    <w:rsid w:val="0AE147AE"/>
    <w:rsid w:val="0AE64E8C"/>
    <w:rsid w:val="0AEE0C79"/>
    <w:rsid w:val="0AEE6ECB"/>
    <w:rsid w:val="0AFB3396"/>
    <w:rsid w:val="0B065FC2"/>
    <w:rsid w:val="0B1A1E7C"/>
    <w:rsid w:val="0B354AFA"/>
    <w:rsid w:val="0B3937C0"/>
    <w:rsid w:val="0B3A1871"/>
    <w:rsid w:val="0B3D29F9"/>
    <w:rsid w:val="0B433852"/>
    <w:rsid w:val="0B4C5836"/>
    <w:rsid w:val="0B510A2C"/>
    <w:rsid w:val="0B5A4560"/>
    <w:rsid w:val="0B5D195B"/>
    <w:rsid w:val="0B5D7839"/>
    <w:rsid w:val="0B603745"/>
    <w:rsid w:val="0B6158EF"/>
    <w:rsid w:val="0B6B3F04"/>
    <w:rsid w:val="0B7373D0"/>
    <w:rsid w:val="0B7527D1"/>
    <w:rsid w:val="0B815649"/>
    <w:rsid w:val="0B8909A2"/>
    <w:rsid w:val="0B89469A"/>
    <w:rsid w:val="0B8B296C"/>
    <w:rsid w:val="0B8D7294"/>
    <w:rsid w:val="0B923CFA"/>
    <w:rsid w:val="0B9510F4"/>
    <w:rsid w:val="0B955598"/>
    <w:rsid w:val="0B9A2BAF"/>
    <w:rsid w:val="0BA21BCD"/>
    <w:rsid w:val="0BA37CB5"/>
    <w:rsid w:val="0BA43DE0"/>
    <w:rsid w:val="0BA457DB"/>
    <w:rsid w:val="0BA92DF2"/>
    <w:rsid w:val="0BB04286"/>
    <w:rsid w:val="0BB27EF8"/>
    <w:rsid w:val="0BB454F1"/>
    <w:rsid w:val="0BB80354"/>
    <w:rsid w:val="0BB95CBE"/>
    <w:rsid w:val="0BBB409F"/>
    <w:rsid w:val="0BBB69B7"/>
    <w:rsid w:val="0BBE689D"/>
    <w:rsid w:val="0BC814CA"/>
    <w:rsid w:val="0BCA47E1"/>
    <w:rsid w:val="0BCF2858"/>
    <w:rsid w:val="0BD7795F"/>
    <w:rsid w:val="0BD95485"/>
    <w:rsid w:val="0BDA6C5D"/>
    <w:rsid w:val="0BDE2A9B"/>
    <w:rsid w:val="0BE502CE"/>
    <w:rsid w:val="0BEB13E3"/>
    <w:rsid w:val="0C004AA5"/>
    <w:rsid w:val="0C01678A"/>
    <w:rsid w:val="0C1A705E"/>
    <w:rsid w:val="0C233095"/>
    <w:rsid w:val="0C2549C6"/>
    <w:rsid w:val="0C3B1C9C"/>
    <w:rsid w:val="0C3E353A"/>
    <w:rsid w:val="0C4321F4"/>
    <w:rsid w:val="0C4D07AA"/>
    <w:rsid w:val="0C4F0FDA"/>
    <w:rsid w:val="0C4F74F5"/>
    <w:rsid w:val="0C637445"/>
    <w:rsid w:val="0C6A4983"/>
    <w:rsid w:val="0C744C2F"/>
    <w:rsid w:val="0C762CD4"/>
    <w:rsid w:val="0C7B29E0"/>
    <w:rsid w:val="0C801DA5"/>
    <w:rsid w:val="0C882A07"/>
    <w:rsid w:val="0C9B098C"/>
    <w:rsid w:val="0CA050B2"/>
    <w:rsid w:val="0CA57A5D"/>
    <w:rsid w:val="0CB3217A"/>
    <w:rsid w:val="0CC80BC8"/>
    <w:rsid w:val="0CCE7D38"/>
    <w:rsid w:val="0CCF0636"/>
    <w:rsid w:val="0CD434EF"/>
    <w:rsid w:val="0CEB1914"/>
    <w:rsid w:val="0CEE6D43"/>
    <w:rsid w:val="0CF14A50"/>
    <w:rsid w:val="0CF85DDF"/>
    <w:rsid w:val="0CFD51A3"/>
    <w:rsid w:val="0D0A3154"/>
    <w:rsid w:val="0D0F4ED6"/>
    <w:rsid w:val="0D205C25"/>
    <w:rsid w:val="0D234F52"/>
    <w:rsid w:val="0D29243C"/>
    <w:rsid w:val="0D3A544D"/>
    <w:rsid w:val="0D3B5CCB"/>
    <w:rsid w:val="0D4252AC"/>
    <w:rsid w:val="0D5415CD"/>
    <w:rsid w:val="0D5B011C"/>
    <w:rsid w:val="0D611BD6"/>
    <w:rsid w:val="0D6E7B1E"/>
    <w:rsid w:val="0D757F40"/>
    <w:rsid w:val="0DA815B3"/>
    <w:rsid w:val="0DB37F58"/>
    <w:rsid w:val="0DB5782C"/>
    <w:rsid w:val="0DB735A4"/>
    <w:rsid w:val="0DB80007"/>
    <w:rsid w:val="0DBA12E6"/>
    <w:rsid w:val="0DBF3EA1"/>
    <w:rsid w:val="0DC0318D"/>
    <w:rsid w:val="0DC42DDE"/>
    <w:rsid w:val="0DC67C8B"/>
    <w:rsid w:val="0DC94643"/>
    <w:rsid w:val="0DD2124C"/>
    <w:rsid w:val="0DD73C8C"/>
    <w:rsid w:val="0DDE3227"/>
    <w:rsid w:val="0DE0038F"/>
    <w:rsid w:val="0DE61C3B"/>
    <w:rsid w:val="0DF2262D"/>
    <w:rsid w:val="0DF2282E"/>
    <w:rsid w:val="0DF70B74"/>
    <w:rsid w:val="0DFE49A3"/>
    <w:rsid w:val="0E0075D9"/>
    <w:rsid w:val="0E042251"/>
    <w:rsid w:val="0E0A401C"/>
    <w:rsid w:val="0E0E518E"/>
    <w:rsid w:val="0E106908"/>
    <w:rsid w:val="0E197DBB"/>
    <w:rsid w:val="0E1A2DE0"/>
    <w:rsid w:val="0E1B78DD"/>
    <w:rsid w:val="0E2B6B26"/>
    <w:rsid w:val="0E4137B5"/>
    <w:rsid w:val="0E423BF7"/>
    <w:rsid w:val="0E6059EA"/>
    <w:rsid w:val="0E6C0832"/>
    <w:rsid w:val="0E75661A"/>
    <w:rsid w:val="0E883075"/>
    <w:rsid w:val="0E8869F3"/>
    <w:rsid w:val="0E9D6C3E"/>
    <w:rsid w:val="0E9E4764"/>
    <w:rsid w:val="0EA77ABC"/>
    <w:rsid w:val="0EA85E0C"/>
    <w:rsid w:val="0EAA135B"/>
    <w:rsid w:val="0EB205DF"/>
    <w:rsid w:val="0EB2798B"/>
    <w:rsid w:val="0EB65F51"/>
    <w:rsid w:val="0EB76458"/>
    <w:rsid w:val="0EC95C85"/>
    <w:rsid w:val="0ECD6FA8"/>
    <w:rsid w:val="0ED2440E"/>
    <w:rsid w:val="0ED63EFE"/>
    <w:rsid w:val="0EDD34DE"/>
    <w:rsid w:val="0EE7435D"/>
    <w:rsid w:val="0EF83E74"/>
    <w:rsid w:val="0EFE3455"/>
    <w:rsid w:val="0F0C1F2A"/>
    <w:rsid w:val="0F11323C"/>
    <w:rsid w:val="0F1553DE"/>
    <w:rsid w:val="0F16254C"/>
    <w:rsid w:val="0F2D63C4"/>
    <w:rsid w:val="0F36499C"/>
    <w:rsid w:val="0F39623B"/>
    <w:rsid w:val="0F403A6D"/>
    <w:rsid w:val="0F43251D"/>
    <w:rsid w:val="0F45125C"/>
    <w:rsid w:val="0F4A6ABA"/>
    <w:rsid w:val="0F4E618A"/>
    <w:rsid w:val="0F5A5820"/>
    <w:rsid w:val="0F621C35"/>
    <w:rsid w:val="0F64150A"/>
    <w:rsid w:val="0F6459AD"/>
    <w:rsid w:val="0F68332B"/>
    <w:rsid w:val="0F6C6610"/>
    <w:rsid w:val="0F704352"/>
    <w:rsid w:val="0F75168B"/>
    <w:rsid w:val="0F7B2706"/>
    <w:rsid w:val="0F7C2CF7"/>
    <w:rsid w:val="0F7F1D48"/>
    <w:rsid w:val="0F7F4595"/>
    <w:rsid w:val="0F815DA9"/>
    <w:rsid w:val="0F825E34"/>
    <w:rsid w:val="0F866514"/>
    <w:rsid w:val="0F8678A4"/>
    <w:rsid w:val="0F895414"/>
    <w:rsid w:val="0F8A4A20"/>
    <w:rsid w:val="0F914A2F"/>
    <w:rsid w:val="0F9D4A1B"/>
    <w:rsid w:val="0F9F2542"/>
    <w:rsid w:val="0FB00E14"/>
    <w:rsid w:val="0FB0474F"/>
    <w:rsid w:val="0FB373A1"/>
    <w:rsid w:val="0FC867A4"/>
    <w:rsid w:val="0FCD00EA"/>
    <w:rsid w:val="0FD146C5"/>
    <w:rsid w:val="0FD22917"/>
    <w:rsid w:val="0FD90C49"/>
    <w:rsid w:val="0FDF0D69"/>
    <w:rsid w:val="0FF46D31"/>
    <w:rsid w:val="0FF7194F"/>
    <w:rsid w:val="0FFA1E6E"/>
    <w:rsid w:val="0FFC1519"/>
    <w:rsid w:val="100625C1"/>
    <w:rsid w:val="100D7DF3"/>
    <w:rsid w:val="1010343F"/>
    <w:rsid w:val="101F5FB7"/>
    <w:rsid w:val="102437A4"/>
    <w:rsid w:val="10262C63"/>
    <w:rsid w:val="1032785A"/>
    <w:rsid w:val="10390BE8"/>
    <w:rsid w:val="10485858"/>
    <w:rsid w:val="104C6EC7"/>
    <w:rsid w:val="105A46BB"/>
    <w:rsid w:val="10611EED"/>
    <w:rsid w:val="106317C1"/>
    <w:rsid w:val="106A6FF4"/>
    <w:rsid w:val="106B1D32"/>
    <w:rsid w:val="107A6B0B"/>
    <w:rsid w:val="109127D2"/>
    <w:rsid w:val="10914580"/>
    <w:rsid w:val="109167D7"/>
    <w:rsid w:val="1092654A"/>
    <w:rsid w:val="10973B61"/>
    <w:rsid w:val="10A122E9"/>
    <w:rsid w:val="10AD0C8E"/>
    <w:rsid w:val="10AD5132"/>
    <w:rsid w:val="10AD6EE0"/>
    <w:rsid w:val="10B262A5"/>
    <w:rsid w:val="10B27056"/>
    <w:rsid w:val="10BE03C5"/>
    <w:rsid w:val="10CC380A"/>
    <w:rsid w:val="10CF32FA"/>
    <w:rsid w:val="10D34B99"/>
    <w:rsid w:val="10F1501F"/>
    <w:rsid w:val="10FC5772"/>
    <w:rsid w:val="110E5BD1"/>
    <w:rsid w:val="111E1B8C"/>
    <w:rsid w:val="11286567"/>
    <w:rsid w:val="112B01CB"/>
    <w:rsid w:val="112E1369"/>
    <w:rsid w:val="11346136"/>
    <w:rsid w:val="11434631"/>
    <w:rsid w:val="114A0BD3"/>
    <w:rsid w:val="114C494B"/>
    <w:rsid w:val="114E2471"/>
    <w:rsid w:val="1158509E"/>
    <w:rsid w:val="11586E4C"/>
    <w:rsid w:val="115F642C"/>
    <w:rsid w:val="116972AB"/>
    <w:rsid w:val="116C0B49"/>
    <w:rsid w:val="11716160"/>
    <w:rsid w:val="11721BDA"/>
    <w:rsid w:val="11752DC3"/>
    <w:rsid w:val="118539B9"/>
    <w:rsid w:val="11891552"/>
    <w:rsid w:val="11894686"/>
    <w:rsid w:val="118F2D3B"/>
    <w:rsid w:val="11A45C86"/>
    <w:rsid w:val="11AA6C32"/>
    <w:rsid w:val="11AD23A8"/>
    <w:rsid w:val="11AD468B"/>
    <w:rsid w:val="11AF6491"/>
    <w:rsid w:val="11B81681"/>
    <w:rsid w:val="11C40985"/>
    <w:rsid w:val="11C646FD"/>
    <w:rsid w:val="11CB5870"/>
    <w:rsid w:val="11D87F8D"/>
    <w:rsid w:val="11E3294C"/>
    <w:rsid w:val="11ED0C7E"/>
    <w:rsid w:val="11F1761D"/>
    <w:rsid w:val="12086AC4"/>
    <w:rsid w:val="120C7C36"/>
    <w:rsid w:val="120D49C2"/>
    <w:rsid w:val="120E39AF"/>
    <w:rsid w:val="12124E24"/>
    <w:rsid w:val="121445D6"/>
    <w:rsid w:val="121A54D0"/>
    <w:rsid w:val="12252A8F"/>
    <w:rsid w:val="122537DA"/>
    <w:rsid w:val="123E3820"/>
    <w:rsid w:val="12415356"/>
    <w:rsid w:val="124318AA"/>
    <w:rsid w:val="125A0482"/>
    <w:rsid w:val="125A4E46"/>
    <w:rsid w:val="125E1F79"/>
    <w:rsid w:val="12651734"/>
    <w:rsid w:val="12687563"/>
    <w:rsid w:val="127557DC"/>
    <w:rsid w:val="1283439D"/>
    <w:rsid w:val="12865C3B"/>
    <w:rsid w:val="1287552A"/>
    <w:rsid w:val="128B71FD"/>
    <w:rsid w:val="12942106"/>
    <w:rsid w:val="129B7938"/>
    <w:rsid w:val="12A604AE"/>
    <w:rsid w:val="12AE3DA7"/>
    <w:rsid w:val="12B66520"/>
    <w:rsid w:val="12B72298"/>
    <w:rsid w:val="12B72FCD"/>
    <w:rsid w:val="12B77FA2"/>
    <w:rsid w:val="12BE53D5"/>
    <w:rsid w:val="12C0598C"/>
    <w:rsid w:val="12C30517"/>
    <w:rsid w:val="12C86253"/>
    <w:rsid w:val="12CD5618"/>
    <w:rsid w:val="12D1335A"/>
    <w:rsid w:val="12D45DCF"/>
    <w:rsid w:val="12DE15D3"/>
    <w:rsid w:val="12F2507E"/>
    <w:rsid w:val="12F33274"/>
    <w:rsid w:val="12F40E33"/>
    <w:rsid w:val="12FC5EFD"/>
    <w:rsid w:val="12FE4C34"/>
    <w:rsid w:val="12FF67DC"/>
    <w:rsid w:val="13007713"/>
    <w:rsid w:val="13021765"/>
    <w:rsid w:val="13051255"/>
    <w:rsid w:val="13085B4B"/>
    <w:rsid w:val="13094698"/>
    <w:rsid w:val="130C25E4"/>
    <w:rsid w:val="13250FB0"/>
    <w:rsid w:val="13294F44"/>
    <w:rsid w:val="13345697"/>
    <w:rsid w:val="133833D9"/>
    <w:rsid w:val="134358DA"/>
    <w:rsid w:val="13491142"/>
    <w:rsid w:val="13497394"/>
    <w:rsid w:val="134A3724"/>
    <w:rsid w:val="13567D77"/>
    <w:rsid w:val="13620456"/>
    <w:rsid w:val="13737F6D"/>
    <w:rsid w:val="137D5290"/>
    <w:rsid w:val="137F00AB"/>
    <w:rsid w:val="137F2DB6"/>
    <w:rsid w:val="139046CA"/>
    <w:rsid w:val="13906D71"/>
    <w:rsid w:val="13992083"/>
    <w:rsid w:val="139C49F3"/>
    <w:rsid w:val="13A301EF"/>
    <w:rsid w:val="13B16CE7"/>
    <w:rsid w:val="13BA01BF"/>
    <w:rsid w:val="13BB7933"/>
    <w:rsid w:val="13BD568C"/>
    <w:rsid w:val="13D50C28"/>
    <w:rsid w:val="13D645ED"/>
    <w:rsid w:val="13DC5D90"/>
    <w:rsid w:val="13E32484"/>
    <w:rsid w:val="13E9022F"/>
    <w:rsid w:val="13ED41C3"/>
    <w:rsid w:val="13EF6F6A"/>
    <w:rsid w:val="13F81F0F"/>
    <w:rsid w:val="13FD5D1E"/>
    <w:rsid w:val="14010D02"/>
    <w:rsid w:val="14010FA8"/>
    <w:rsid w:val="14085DA1"/>
    <w:rsid w:val="140E7208"/>
    <w:rsid w:val="14116341"/>
    <w:rsid w:val="1419148A"/>
    <w:rsid w:val="141C6857"/>
    <w:rsid w:val="141C727E"/>
    <w:rsid w:val="142B4CEC"/>
    <w:rsid w:val="1433594E"/>
    <w:rsid w:val="14373691"/>
    <w:rsid w:val="144705DE"/>
    <w:rsid w:val="144933C4"/>
    <w:rsid w:val="145A7877"/>
    <w:rsid w:val="14604A1D"/>
    <w:rsid w:val="1461034C"/>
    <w:rsid w:val="146419DE"/>
    <w:rsid w:val="14783DE9"/>
    <w:rsid w:val="147A532B"/>
    <w:rsid w:val="147E12BF"/>
    <w:rsid w:val="14861F22"/>
    <w:rsid w:val="148A193E"/>
    <w:rsid w:val="148F378A"/>
    <w:rsid w:val="14937E03"/>
    <w:rsid w:val="1496763E"/>
    <w:rsid w:val="14987CE5"/>
    <w:rsid w:val="149C7998"/>
    <w:rsid w:val="149D07F7"/>
    <w:rsid w:val="14A30D26"/>
    <w:rsid w:val="14AE7044"/>
    <w:rsid w:val="14B06F9F"/>
    <w:rsid w:val="14B17CB1"/>
    <w:rsid w:val="14BB7AA2"/>
    <w:rsid w:val="14C376E0"/>
    <w:rsid w:val="14CE7001"/>
    <w:rsid w:val="14CF38C9"/>
    <w:rsid w:val="14D233B9"/>
    <w:rsid w:val="14D7277E"/>
    <w:rsid w:val="14DA401C"/>
    <w:rsid w:val="14DC5FE6"/>
    <w:rsid w:val="14E12E73"/>
    <w:rsid w:val="14E8498B"/>
    <w:rsid w:val="14ED3D4F"/>
    <w:rsid w:val="14F25809"/>
    <w:rsid w:val="14F61D8B"/>
    <w:rsid w:val="14F67C9C"/>
    <w:rsid w:val="14F90946"/>
    <w:rsid w:val="150317C5"/>
    <w:rsid w:val="15065FB8"/>
    <w:rsid w:val="150738BE"/>
    <w:rsid w:val="15086DDB"/>
    <w:rsid w:val="150C68CB"/>
    <w:rsid w:val="15115C90"/>
    <w:rsid w:val="15152102"/>
    <w:rsid w:val="15191D75"/>
    <w:rsid w:val="151D2886"/>
    <w:rsid w:val="151F66B7"/>
    <w:rsid w:val="1528122B"/>
    <w:rsid w:val="15307213"/>
    <w:rsid w:val="154B447A"/>
    <w:rsid w:val="154F67B8"/>
    <w:rsid w:val="155E3DF4"/>
    <w:rsid w:val="156A1844"/>
    <w:rsid w:val="156F177E"/>
    <w:rsid w:val="157131B1"/>
    <w:rsid w:val="157B508D"/>
    <w:rsid w:val="157F07B3"/>
    <w:rsid w:val="158D1F17"/>
    <w:rsid w:val="1594241D"/>
    <w:rsid w:val="159643E7"/>
    <w:rsid w:val="159D5775"/>
    <w:rsid w:val="15A941B8"/>
    <w:rsid w:val="15AD3816"/>
    <w:rsid w:val="15AE7982"/>
    <w:rsid w:val="15AF4671"/>
    <w:rsid w:val="15AF54A9"/>
    <w:rsid w:val="15B13177"/>
    <w:rsid w:val="15B35F47"/>
    <w:rsid w:val="15B744CC"/>
    <w:rsid w:val="15BF44EA"/>
    <w:rsid w:val="15C076B6"/>
    <w:rsid w:val="15C2717F"/>
    <w:rsid w:val="15C6423D"/>
    <w:rsid w:val="15E225AB"/>
    <w:rsid w:val="15F66C34"/>
    <w:rsid w:val="15FC5A3B"/>
    <w:rsid w:val="16007AB2"/>
    <w:rsid w:val="1609105D"/>
    <w:rsid w:val="160D7F75"/>
    <w:rsid w:val="160E6673"/>
    <w:rsid w:val="16135A37"/>
    <w:rsid w:val="162023F7"/>
    <w:rsid w:val="1629525B"/>
    <w:rsid w:val="1632753F"/>
    <w:rsid w:val="163349EB"/>
    <w:rsid w:val="16377978"/>
    <w:rsid w:val="163A2E60"/>
    <w:rsid w:val="163D44F0"/>
    <w:rsid w:val="16465E0D"/>
    <w:rsid w:val="1653052A"/>
    <w:rsid w:val="16546326"/>
    <w:rsid w:val="1658579A"/>
    <w:rsid w:val="165941D2"/>
    <w:rsid w:val="165E3157"/>
    <w:rsid w:val="16692F64"/>
    <w:rsid w:val="16775FC6"/>
    <w:rsid w:val="167F0B3A"/>
    <w:rsid w:val="167F131F"/>
    <w:rsid w:val="168B7CC4"/>
    <w:rsid w:val="16937FDC"/>
    <w:rsid w:val="16A36DBB"/>
    <w:rsid w:val="16A91EF8"/>
    <w:rsid w:val="16B0772A"/>
    <w:rsid w:val="16B07D64"/>
    <w:rsid w:val="16B956A0"/>
    <w:rsid w:val="16C0499B"/>
    <w:rsid w:val="16C531D6"/>
    <w:rsid w:val="16D2144F"/>
    <w:rsid w:val="16D859D4"/>
    <w:rsid w:val="16DB1127"/>
    <w:rsid w:val="16E32BD4"/>
    <w:rsid w:val="16E628F3"/>
    <w:rsid w:val="16E91B23"/>
    <w:rsid w:val="16F47617"/>
    <w:rsid w:val="16FB7731"/>
    <w:rsid w:val="16FD42A8"/>
    <w:rsid w:val="170A6E3A"/>
    <w:rsid w:val="170B4AC6"/>
    <w:rsid w:val="170F26A3"/>
    <w:rsid w:val="17107DA3"/>
    <w:rsid w:val="171657DF"/>
    <w:rsid w:val="171C6B6E"/>
    <w:rsid w:val="17231CAA"/>
    <w:rsid w:val="172C5003"/>
    <w:rsid w:val="172F67FB"/>
    <w:rsid w:val="173A1288"/>
    <w:rsid w:val="174A36DB"/>
    <w:rsid w:val="174F10F9"/>
    <w:rsid w:val="17516A6E"/>
    <w:rsid w:val="175400B6"/>
    <w:rsid w:val="175D340E"/>
    <w:rsid w:val="175F215D"/>
    <w:rsid w:val="17671DD7"/>
    <w:rsid w:val="17673D42"/>
    <w:rsid w:val="176B565A"/>
    <w:rsid w:val="17747E5F"/>
    <w:rsid w:val="1775586B"/>
    <w:rsid w:val="1776002C"/>
    <w:rsid w:val="17772E71"/>
    <w:rsid w:val="17854713"/>
    <w:rsid w:val="179041DB"/>
    <w:rsid w:val="179E7583"/>
    <w:rsid w:val="17A0154D"/>
    <w:rsid w:val="17A252C5"/>
    <w:rsid w:val="17A821AF"/>
    <w:rsid w:val="17AD20CD"/>
    <w:rsid w:val="17AF6E8C"/>
    <w:rsid w:val="17BF2407"/>
    <w:rsid w:val="17C22DFE"/>
    <w:rsid w:val="17C4348D"/>
    <w:rsid w:val="17C76AD9"/>
    <w:rsid w:val="17CB19B6"/>
    <w:rsid w:val="17CC0594"/>
    <w:rsid w:val="17CE60BA"/>
    <w:rsid w:val="17DF5700"/>
    <w:rsid w:val="17E12F06"/>
    <w:rsid w:val="17E53404"/>
    <w:rsid w:val="17EB6C6C"/>
    <w:rsid w:val="17EF2544"/>
    <w:rsid w:val="17F17FFA"/>
    <w:rsid w:val="17F4149A"/>
    <w:rsid w:val="17FB28C2"/>
    <w:rsid w:val="181066D2"/>
    <w:rsid w:val="181E2472"/>
    <w:rsid w:val="1820443C"/>
    <w:rsid w:val="18226406"/>
    <w:rsid w:val="18253800"/>
    <w:rsid w:val="18371EB1"/>
    <w:rsid w:val="183A374F"/>
    <w:rsid w:val="183F48C2"/>
    <w:rsid w:val="18411616"/>
    <w:rsid w:val="18493992"/>
    <w:rsid w:val="185540E5"/>
    <w:rsid w:val="18556626"/>
    <w:rsid w:val="185F6D12"/>
    <w:rsid w:val="18652FC2"/>
    <w:rsid w:val="186D58D3"/>
    <w:rsid w:val="186F27B5"/>
    <w:rsid w:val="187F409E"/>
    <w:rsid w:val="18812C1B"/>
    <w:rsid w:val="188B5D59"/>
    <w:rsid w:val="188C616C"/>
    <w:rsid w:val="188E75F7"/>
    <w:rsid w:val="18927FAF"/>
    <w:rsid w:val="18954E2A"/>
    <w:rsid w:val="18A1557C"/>
    <w:rsid w:val="18A477CE"/>
    <w:rsid w:val="18B51028"/>
    <w:rsid w:val="18B85453"/>
    <w:rsid w:val="18BD27D7"/>
    <w:rsid w:val="18C9062F"/>
    <w:rsid w:val="18D3325C"/>
    <w:rsid w:val="18D47700"/>
    <w:rsid w:val="18D53478"/>
    <w:rsid w:val="18D94D16"/>
    <w:rsid w:val="18D96C45"/>
    <w:rsid w:val="18DA0A8E"/>
    <w:rsid w:val="18DC4807"/>
    <w:rsid w:val="18E37943"/>
    <w:rsid w:val="18E45469"/>
    <w:rsid w:val="18F51424"/>
    <w:rsid w:val="18F8118C"/>
    <w:rsid w:val="18F94F77"/>
    <w:rsid w:val="18F97167"/>
    <w:rsid w:val="18FB0DA2"/>
    <w:rsid w:val="190551FF"/>
    <w:rsid w:val="190B226F"/>
    <w:rsid w:val="190B50EC"/>
    <w:rsid w:val="190B6E9A"/>
    <w:rsid w:val="19145D4E"/>
    <w:rsid w:val="19210A83"/>
    <w:rsid w:val="19235F91"/>
    <w:rsid w:val="192E7B16"/>
    <w:rsid w:val="192F2B88"/>
    <w:rsid w:val="193753F0"/>
    <w:rsid w:val="19393A07"/>
    <w:rsid w:val="193E2491"/>
    <w:rsid w:val="19434886"/>
    <w:rsid w:val="19622F5E"/>
    <w:rsid w:val="196547FC"/>
    <w:rsid w:val="197C1B46"/>
    <w:rsid w:val="197E58BE"/>
    <w:rsid w:val="19805192"/>
    <w:rsid w:val="19866520"/>
    <w:rsid w:val="199450E1"/>
    <w:rsid w:val="19956FF2"/>
    <w:rsid w:val="19A370D2"/>
    <w:rsid w:val="19A54BF8"/>
    <w:rsid w:val="19B54FD6"/>
    <w:rsid w:val="19B65058"/>
    <w:rsid w:val="19C02B62"/>
    <w:rsid w:val="19C04D2A"/>
    <w:rsid w:val="19CA28B1"/>
    <w:rsid w:val="19CE069F"/>
    <w:rsid w:val="19DB4ABE"/>
    <w:rsid w:val="19E25E4D"/>
    <w:rsid w:val="19E42BC5"/>
    <w:rsid w:val="19E51499"/>
    <w:rsid w:val="19E75211"/>
    <w:rsid w:val="19E82D37"/>
    <w:rsid w:val="19EF40C6"/>
    <w:rsid w:val="19F142E2"/>
    <w:rsid w:val="19F16090"/>
    <w:rsid w:val="19F81307"/>
    <w:rsid w:val="19F85670"/>
    <w:rsid w:val="1A0C2EC9"/>
    <w:rsid w:val="1A0D279E"/>
    <w:rsid w:val="1A0E0D9F"/>
    <w:rsid w:val="1A1376B3"/>
    <w:rsid w:val="1A1E1A7F"/>
    <w:rsid w:val="1A1F0E4F"/>
    <w:rsid w:val="1A203255"/>
    <w:rsid w:val="1A271AB1"/>
    <w:rsid w:val="1A2D7E90"/>
    <w:rsid w:val="1A36737F"/>
    <w:rsid w:val="1A3C2ADC"/>
    <w:rsid w:val="1A42329E"/>
    <w:rsid w:val="1A495ECC"/>
    <w:rsid w:val="1A587EBD"/>
    <w:rsid w:val="1A5A3C35"/>
    <w:rsid w:val="1A5D1977"/>
    <w:rsid w:val="1A7171D0"/>
    <w:rsid w:val="1A807414"/>
    <w:rsid w:val="1A894465"/>
    <w:rsid w:val="1A8D2229"/>
    <w:rsid w:val="1A951111"/>
    <w:rsid w:val="1A9C0B0E"/>
    <w:rsid w:val="1A9C424D"/>
    <w:rsid w:val="1AA13854"/>
    <w:rsid w:val="1AA66E7A"/>
    <w:rsid w:val="1AA9328C"/>
    <w:rsid w:val="1AAB26E2"/>
    <w:rsid w:val="1ABA5EDF"/>
    <w:rsid w:val="1AC45552"/>
    <w:rsid w:val="1AC612CA"/>
    <w:rsid w:val="1AC9700C"/>
    <w:rsid w:val="1AD0039B"/>
    <w:rsid w:val="1AD05CA5"/>
    <w:rsid w:val="1AD31C39"/>
    <w:rsid w:val="1AD35795"/>
    <w:rsid w:val="1ADC1B7E"/>
    <w:rsid w:val="1AE31E7C"/>
    <w:rsid w:val="1AE94FB9"/>
    <w:rsid w:val="1AF91C9A"/>
    <w:rsid w:val="1B01027C"/>
    <w:rsid w:val="1B010952"/>
    <w:rsid w:val="1B0F32E5"/>
    <w:rsid w:val="1B1464DA"/>
    <w:rsid w:val="1B173817"/>
    <w:rsid w:val="1B2E0C1E"/>
    <w:rsid w:val="1B32052F"/>
    <w:rsid w:val="1B3721C8"/>
    <w:rsid w:val="1B3E3557"/>
    <w:rsid w:val="1B4A3CA9"/>
    <w:rsid w:val="1B4B5C73"/>
    <w:rsid w:val="1B4C12CB"/>
    <w:rsid w:val="1B590390"/>
    <w:rsid w:val="1B5E59A7"/>
    <w:rsid w:val="1B6034CD"/>
    <w:rsid w:val="1B61005B"/>
    <w:rsid w:val="1B666345"/>
    <w:rsid w:val="1B6F1962"/>
    <w:rsid w:val="1B76748E"/>
    <w:rsid w:val="1B770817"/>
    <w:rsid w:val="1B7B0307"/>
    <w:rsid w:val="1B7C407F"/>
    <w:rsid w:val="1B854CE1"/>
    <w:rsid w:val="1B9B1DEA"/>
    <w:rsid w:val="1BA81F7C"/>
    <w:rsid w:val="1BB13075"/>
    <w:rsid w:val="1BB750B7"/>
    <w:rsid w:val="1BBC0700"/>
    <w:rsid w:val="1BBD01E0"/>
    <w:rsid w:val="1BCC0B62"/>
    <w:rsid w:val="1BCD0437"/>
    <w:rsid w:val="1BCF0653"/>
    <w:rsid w:val="1BCF2401"/>
    <w:rsid w:val="1BD143CB"/>
    <w:rsid w:val="1BD81D53"/>
    <w:rsid w:val="1BEC0C12"/>
    <w:rsid w:val="1BF105C9"/>
    <w:rsid w:val="1BF14125"/>
    <w:rsid w:val="1BF2410D"/>
    <w:rsid w:val="1BF9747E"/>
    <w:rsid w:val="1BFE0A0B"/>
    <w:rsid w:val="1C0320AA"/>
    <w:rsid w:val="1C0E117B"/>
    <w:rsid w:val="1C163B8C"/>
    <w:rsid w:val="1C220858"/>
    <w:rsid w:val="1C2269D4"/>
    <w:rsid w:val="1C2362A8"/>
    <w:rsid w:val="1C295FB5"/>
    <w:rsid w:val="1C2E0B57"/>
    <w:rsid w:val="1C2F10F1"/>
    <w:rsid w:val="1C313BDC"/>
    <w:rsid w:val="1C395ACC"/>
    <w:rsid w:val="1C3A08F9"/>
    <w:rsid w:val="1C3A6F04"/>
    <w:rsid w:val="1C4306F9"/>
    <w:rsid w:val="1C485D0F"/>
    <w:rsid w:val="1C533032"/>
    <w:rsid w:val="1C542906"/>
    <w:rsid w:val="1C6568C1"/>
    <w:rsid w:val="1C735482"/>
    <w:rsid w:val="1C7F5262"/>
    <w:rsid w:val="1C7F5BD5"/>
    <w:rsid w:val="1C817B0B"/>
    <w:rsid w:val="1C876837"/>
    <w:rsid w:val="1C8C02F2"/>
    <w:rsid w:val="1C915908"/>
    <w:rsid w:val="1CA27B15"/>
    <w:rsid w:val="1CA47198"/>
    <w:rsid w:val="1CA64C69"/>
    <w:rsid w:val="1CA76EDA"/>
    <w:rsid w:val="1CB533A4"/>
    <w:rsid w:val="1CB810E7"/>
    <w:rsid w:val="1CC40B0B"/>
    <w:rsid w:val="1CD04682"/>
    <w:rsid w:val="1CD557F5"/>
    <w:rsid w:val="1CD82099"/>
    <w:rsid w:val="1CDD6D9F"/>
    <w:rsid w:val="1CE617B0"/>
    <w:rsid w:val="1CF23A7E"/>
    <w:rsid w:val="1CF245F9"/>
    <w:rsid w:val="1D0B7468"/>
    <w:rsid w:val="1D1505F7"/>
    <w:rsid w:val="1D237B9B"/>
    <w:rsid w:val="1D275FCD"/>
    <w:rsid w:val="1D293D92"/>
    <w:rsid w:val="1D306A51"/>
    <w:rsid w:val="1D385D84"/>
    <w:rsid w:val="1D4666F2"/>
    <w:rsid w:val="1D4B1F5B"/>
    <w:rsid w:val="1D5C1A72"/>
    <w:rsid w:val="1D721295"/>
    <w:rsid w:val="1D770579"/>
    <w:rsid w:val="1D774AFE"/>
    <w:rsid w:val="1D7A639C"/>
    <w:rsid w:val="1D7B207F"/>
    <w:rsid w:val="1D7F1C04"/>
    <w:rsid w:val="1D807CC2"/>
    <w:rsid w:val="1D862F93"/>
    <w:rsid w:val="1D882867"/>
    <w:rsid w:val="1D8E3BF5"/>
    <w:rsid w:val="1D911124"/>
    <w:rsid w:val="1D951428"/>
    <w:rsid w:val="1D9C7A76"/>
    <w:rsid w:val="1DAB70EE"/>
    <w:rsid w:val="1DB00002"/>
    <w:rsid w:val="1DB418AE"/>
    <w:rsid w:val="1DB55626"/>
    <w:rsid w:val="1DB635AC"/>
    <w:rsid w:val="1DB67771"/>
    <w:rsid w:val="1DB83DBE"/>
    <w:rsid w:val="1DC31AF1"/>
    <w:rsid w:val="1DCE398A"/>
    <w:rsid w:val="1DCF493A"/>
    <w:rsid w:val="1DDB0996"/>
    <w:rsid w:val="1DDE692B"/>
    <w:rsid w:val="1DE13D89"/>
    <w:rsid w:val="1DE2388B"/>
    <w:rsid w:val="1DE5415D"/>
    <w:rsid w:val="1DE859FC"/>
    <w:rsid w:val="1DF26F67"/>
    <w:rsid w:val="1DF4614E"/>
    <w:rsid w:val="1DF93250"/>
    <w:rsid w:val="1DFC5003"/>
    <w:rsid w:val="1E036392"/>
    <w:rsid w:val="1E04772B"/>
    <w:rsid w:val="1E0738A7"/>
    <w:rsid w:val="1E081BFA"/>
    <w:rsid w:val="1E1103F2"/>
    <w:rsid w:val="1E1E0B8D"/>
    <w:rsid w:val="1E206F43"/>
    <w:rsid w:val="1E285DF8"/>
    <w:rsid w:val="1E2A6014"/>
    <w:rsid w:val="1E2C77D5"/>
    <w:rsid w:val="1E2D1660"/>
    <w:rsid w:val="1E334EC9"/>
    <w:rsid w:val="1E3B1FCF"/>
    <w:rsid w:val="1E437FCE"/>
    <w:rsid w:val="1E4F5A2F"/>
    <w:rsid w:val="1E5B464E"/>
    <w:rsid w:val="1E661D8A"/>
    <w:rsid w:val="1E6819DA"/>
    <w:rsid w:val="1E694AB7"/>
    <w:rsid w:val="1E6D3818"/>
    <w:rsid w:val="1E7159F1"/>
    <w:rsid w:val="1E7352C5"/>
    <w:rsid w:val="1E780B2E"/>
    <w:rsid w:val="1E796654"/>
    <w:rsid w:val="1E7F11F2"/>
    <w:rsid w:val="1E7F6240"/>
    <w:rsid w:val="1E8361AA"/>
    <w:rsid w:val="1E841ACD"/>
    <w:rsid w:val="1E8474D2"/>
    <w:rsid w:val="1E892D3B"/>
    <w:rsid w:val="1E8A0861"/>
    <w:rsid w:val="1E8B6B43"/>
    <w:rsid w:val="1E9B0CC0"/>
    <w:rsid w:val="1E9B2A6E"/>
    <w:rsid w:val="1EA731C1"/>
    <w:rsid w:val="1EAF1AB3"/>
    <w:rsid w:val="1EB13244"/>
    <w:rsid w:val="1EBA1146"/>
    <w:rsid w:val="1EBA391A"/>
    <w:rsid w:val="1EBB10BE"/>
    <w:rsid w:val="1EBF367A"/>
    <w:rsid w:val="1EC10726"/>
    <w:rsid w:val="1ECB5101"/>
    <w:rsid w:val="1EDB4DDD"/>
    <w:rsid w:val="1EE14925"/>
    <w:rsid w:val="1EE6018D"/>
    <w:rsid w:val="1EE63BA8"/>
    <w:rsid w:val="1EFB350D"/>
    <w:rsid w:val="1EFC2612"/>
    <w:rsid w:val="1F071EB1"/>
    <w:rsid w:val="1F093E7B"/>
    <w:rsid w:val="1F0D5E82"/>
    <w:rsid w:val="1F170C43"/>
    <w:rsid w:val="1F176598"/>
    <w:rsid w:val="1F1958B8"/>
    <w:rsid w:val="1F1C0468"/>
    <w:rsid w:val="1F1F71FB"/>
    <w:rsid w:val="1F212F73"/>
    <w:rsid w:val="1F291E28"/>
    <w:rsid w:val="1F317109"/>
    <w:rsid w:val="1F354C71"/>
    <w:rsid w:val="1F356A1F"/>
    <w:rsid w:val="1F42702F"/>
    <w:rsid w:val="1F470500"/>
    <w:rsid w:val="1F486752"/>
    <w:rsid w:val="1F4E5D32"/>
    <w:rsid w:val="1F503858"/>
    <w:rsid w:val="1F6076D5"/>
    <w:rsid w:val="1F6D440A"/>
    <w:rsid w:val="1F71122E"/>
    <w:rsid w:val="1F7416E1"/>
    <w:rsid w:val="1F7B7743"/>
    <w:rsid w:val="1F8452B0"/>
    <w:rsid w:val="1F8D685B"/>
    <w:rsid w:val="1FA12306"/>
    <w:rsid w:val="1FA53BA4"/>
    <w:rsid w:val="1FAA040A"/>
    <w:rsid w:val="1FAA6ACB"/>
    <w:rsid w:val="1FAB6CAD"/>
    <w:rsid w:val="1FAD16C8"/>
    <w:rsid w:val="1FAE057F"/>
    <w:rsid w:val="1FB10F53"/>
    <w:rsid w:val="1FB355EB"/>
    <w:rsid w:val="1FB77434"/>
    <w:rsid w:val="1FBF453A"/>
    <w:rsid w:val="1FC14756"/>
    <w:rsid w:val="1FCD1DF8"/>
    <w:rsid w:val="1FD4737A"/>
    <w:rsid w:val="1FD55B0C"/>
    <w:rsid w:val="1FDB75C6"/>
    <w:rsid w:val="1FDC6E9A"/>
    <w:rsid w:val="1FE12702"/>
    <w:rsid w:val="1FE521F3"/>
    <w:rsid w:val="1FEF56FB"/>
    <w:rsid w:val="1FF95C9E"/>
    <w:rsid w:val="1FFE1506"/>
    <w:rsid w:val="20000DDB"/>
    <w:rsid w:val="20007616"/>
    <w:rsid w:val="20052895"/>
    <w:rsid w:val="200D34F7"/>
    <w:rsid w:val="200E4EC7"/>
    <w:rsid w:val="20124FB2"/>
    <w:rsid w:val="20125A9B"/>
    <w:rsid w:val="201605FE"/>
    <w:rsid w:val="2020147D"/>
    <w:rsid w:val="202C3EC3"/>
    <w:rsid w:val="203211B0"/>
    <w:rsid w:val="203647FC"/>
    <w:rsid w:val="203D453F"/>
    <w:rsid w:val="204038CD"/>
    <w:rsid w:val="20452C91"/>
    <w:rsid w:val="204A7214"/>
    <w:rsid w:val="204C2272"/>
    <w:rsid w:val="20530F52"/>
    <w:rsid w:val="20564E9E"/>
    <w:rsid w:val="2059673D"/>
    <w:rsid w:val="205D622D"/>
    <w:rsid w:val="20615D95"/>
    <w:rsid w:val="206A629B"/>
    <w:rsid w:val="206E5CA6"/>
    <w:rsid w:val="20791A37"/>
    <w:rsid w:val="207B4905"/>
    <w:rsid w:val="20880DD0"/>
    <w:rsid w:val="20894213"/>
    <w:rsid w:val="208D63E6"/>
    <w:rsid w:val="209177A0"/>
    <w:rsid w:val="20983709"/>
    <w:rsid w:val="20A0436C"/>
    <w:rsid w:val="20A0611A"/>
    <w:rsid w:val="20AA343C"/>
    <w:rsid w:val="20B07120"/>
    <w:rsid w:val="20BA0FC4"/>
    <w:rsid w:val="20BD316F"/>
    <w:rsid w:val="20C22534"/>
    <w:rsid w:val="20D06EDF"/>
    <w:rsid w:val="20D56C9B"/>
    <w:rsid w:val="20DA5ACF"/>
    <w:rsid w:val="20E34258"/>
    <w:rsid w:val="20E35826"/>
    <w:rsid w:val="20E71CAF"/>
    <w:rsid w:val="20EA1DAD"/>
    <w:rsid w:val="20EA55E7"/>
    <w:rsid w:val="20EC75B1"/>
    <w:rsid w:val="20EF2BFD"/>
    <w:rsid w:val="20F3093F"/>
    <w:rsid w:val="20F75B97"/>
    <w:rsid w:val="20FA5F9B"/>
    <w:rsid w:val="210220E4"/>
    <w:rsid w:val="21056B7A"/>
    <w:rsid w:val="210C37AF"/>
    <w:rsid w:val="21154D5A"/>
    <w:rsid w:val="212705E9"/>
    <w:rsid w:val="212E1977"/>
    <w:rsid w:val="213831F5"/>
    <w:rsid w:val="213C22E6"/>
    <w:rsid w:val="21413B78"/>
    <w:rsid w:val="21447A99"/>
    <w:rsid w:val="21472A39"/>
    <w:rsid w:val="214733AE"/>
    <w:rsid w:val="2158623E"/>
    <w:rsid w:val="216058A9"/>
    <w:rsid w:val="21611D4D"/>
    <w:rsid w:val="216677C8"/>
    <w:rsid w:val="216B6728"/>
    <w:rsid w:val="216D6919"/>
    <w:rsid w:val="21701F90"/>
    <w:rsid w:val="21792FA7"/>
    <w:rsid w:val="217F21D3"/>
    <w:rsid w:val="21821860"/>
    <w:rsid w:val="21946C5A"/>
    <w:rsid w:val="21963756"/>
    <w:rsid w:val="219F4623"/>
    <w:rsid w:val="219F55D8"/>
    <w:rsid w:val="21A13B19"/>
    <w:rsid w:val="21AB2FC8"/>
    <w:rsid w:val="21B02367"/>
    <w:rsid w:val="21B26C94"/>
    <w:rsid w:val="21BE2CFB"/>
    <w:rsid w:val="21BF0AAB"/>
    <w:rsid w:val="21C30312"/>
    <w:rsid w:val="21C32917"/>
    <w:rsid w:val="21C81DCC"/>
    <w:rsid w:val="21C93FEB"/>
    <w:rsid w:val="21CB18BC"/>
    <w:rsid w:val="21CF315A"/>
    <w:rsid w:val="21CF4F08"/>
    <w:rsid w:val="21D73DBD"/>
    <w:rsid w:val="21D95D87"/>
    <w:rsid w:val="21FE57EE"/>
    <w:rsid w:val="220A4192"/>
    <w:rsid w:val="220F5EA3"/>
    <w:rsid w:val="222608A0"/>
    <w:rsid w:val="222B0A73"/>
    <w:rsid w:val="2230171F"/>
    <w:rsid w:val="22325095"/>
    <w:rsid w:val="2238786B"/>
    <w:rsid w:val="223B434C"/>
    <w:rsid w:val="223C1E72"/>
    <w:rsid w:val="223C6316"/>
    <w:rsid w:val="2245341D"/>
    <w:rsid w:val="224A0A33"/>
    <w:rsid w:val="224D22D1"/>
    <w:rsid w:val="22574EFE"/>
    <w:rsid w:val="22632696"/>
    <w:rsid w:val="2268710B"/>
    <w:rsid w:val="22696D76"/>
    <w:rsid w:val="226A144B"/>
    <w:rsid w:val="226C6BFB"/>
    <w:rsid w:val="2276059A"/>
    <w:rsid w:val="227F4F1F"/>
    <w:rsid w:val="22821F7B"/>
    <w:rsid w:val="22A07D01"/>
    <w:rsid w:val="22AB7CC8"/>
    <w:rsid w:val="22AC349C"/>
    <w:rsid w:val="22B7472F"/>
    <w:rsid w:val="22BA5BB9"/>
    <w:rsid w:val="22CC445F"/>
    <w:rsid w:val="22EA6E1E"/>
    <w:rsid w:val="22EB4D70"/>
    <w:rsid w:val="22F015DA"/>
    <w:rsid w:val="22F32E79"/>
    <w:rsid w:val="22FF7A6F"/>
    <w:rsid w:val="230D784D"/>
    <w:rsid w:val="23103E95"/>
    <w:rsid w:val="23130E25"/>
    <w:rsid w:val="23152DEF"/>
    <w:rsid w:val="231A6657"/>
    <w:rsid w:val="232142B6"/>
    <w:rsid w:val="23223B3D"/>
    <w:rsid w:val="233A2855"/>
    <w:rsid w:val="233A551A"/>
    <w:rsid w:val="233B65CE"/>
    <w:rsid w:val="23447230"/>
    <w:rsid w:val="234A52C4"/>
    <w:rsid w:val="234C07DB"/>
    <w:rsid w:val="23526D43"/>
    <w:rsid w:val="23571659"/>
    <w:rsid w:val="23627FFE"/>
    <w:rsid w:val="2366338E"/>
    <w:rsid w:val="2369138D"/>
    <w:rsid w:val="236B0C61"/>
    <w:rsid w:val="236E24FF"/>
    <w:rsid w:val="23791B2D"/>
    <w:rsid w:val="237B3285"/>
    <w:rsid w:val="237E2E73"/>
    <w:rsid w:val="238735C1"/>
    <w:rsid w:val="238910E7"/>
    <w:rsid w:val="23940177"/>
    <w:rsid w:val="2399736C"/>
    <w:rsid w:val="23A45F21"/>
    <w:rsid w:val="23AD1279"/>
    <w:rsid w:val="23B51EDC"/>
    <w:rsid w:val="23B95E70"/>
    <w:rsid w:val="23BC45B0"/>
    <w:rsid w:val="23C6583B"/>
    <w:rsid w:val="23D73D2A"/>
    <w:rsid w:val="23DE58D7"/>
    <w:rsid w:val="23DF164F"/>
    <w:rsid w:val="23DF33FD"/>
    <w:rsid w:val="23E25293"/>
    <w:rsid w:val="23EB5FF4"/>
    <w:rsid w:val="23F5677C"/>
    <w:rsid w:val="23FA0237"/>
    <w:rsid w:val="23FC763B"/>
    <w:rsid w:val="23FE3883"/>
    <w:rsid w:val="24003A9F"/>
    <w:rsid w:val="24080473"/>
    <w:rsid w:val="241862DB"/>
    <w:rsid w:val="24194B61"/>
    <w:rsid w:val="241A5C0D"/>
    <w:rsid w:val="241C498C"/>
    <w:rsid w:val="241D757E"/>
    <w:rsid w:val="2428111D"/>
    <w:rsid w:val="242C68E1"/>
    <w:rsid w:val="242F7EE0"/>
    <w:rsid w:val="24336996"/>
    <w:rsid w:val="243C084F"/>
    <w:rsid w:val="243F5C4A"/>
    <w:rsid w:val="244020ED"/>
    <w:rsid w:val="244C7B30"/>
    <w:rsid w:val="244D480A"/>
    <w:rsid w:val="24577437"/>
    <w:rsid w:val="245A2A83"/>
    <w:rsid w:val="24613669"/>
    <w:rsid w:val="246300E9"/>
    <w:rsid w:val="24671BC8"/>
    <w:rsid w:val="24743B45"/>
    <w:rsid w:val="24771887"/>
    <w:rsid w:val="247F0D59"/>
    <w:rsid w:val="2480698E"/>
    <w:rsid w:val="24855E1A"/>
    <w:rsid w:val="24857B00"/>
    <w:rsid w:val="2489554C"/>
    <w:rsid w:val="2492221D"/>
    <w:rsid w:val="24942439"/>
    <w:rsid w:val="249B0281"/>
    <w:rsid w:val="249B1395"/>
    <w:rsid w:val="24A26904"/>
    <w:rsid w:val="24A3234B"/>
    <w:rsid w:val="24A46688"/>
    <w:rsid w:val="24B108F5"/>
    <w:rsid w:val="24B86128"/>
    <w:rsid w:val="24BB1774"/>
    <w:rsid w:val="24BE254D"/>
    <w:rsid w:val="24C50810"/>
    <w:rsid w:val="24C666C1"/>
    <w:rsid w:val="24C86BA3"/>
    <w:rsid w:val="24CA7176"/>
    <w:rsid w:val="24D03885"/>
    <w:rsid w:val="24D171E9"/>
    <w:rsid w:val="24DC0E6F"/>
    <w:rsid w:val="24E92295"/>
    <w:rsid w:val="24EF7670"/>
    <w:rsid w:val="24F52284"/>
    <w:rsid w:val="24F75153"/>
    <w:rsid w:val="25010B91"/>
    <w:rsid w:val="25075D5E"/>
    <w:rsid w:val="250F276F"/>
    <w:rsid w:val="25116F24"/>
    <w:rsid w:val="2519106C"/>
    <w:rsid w:val="251F7F55"/>
    <w:rsid w:val="25230E74"/>
    <w:rsid w:val="25237319"/>
    <w:rsid w:val="25284930"/>
    <w:rsid w:val="253A30B9"/>
    <w:rsid w:val="253F55D6"/>
    <w:rsid w:val="254479BB"/>
    <w:rsid w:val="25451805"/>
    <w:rsid w:val="254B4D03"/>
    <w:rsid w:val="254B6F9C"/>
    <w:rsid w:val="2551661E"/>
    <w:rsid w:val="255816B9"/>
    <w:rsid w:val="255D3448"/>
    <w:rsid w:val="256576B0"/>
    <w:rsid w:val="256A6DB8"/>
    <w:rsid w:val="257302A1"/>
    <w:rsid w:val="2573204F"/>
    <w:rsid w:val="25783B09"/>
    <w:rsid w:val="257B7155"/>
    <w:rsid w:val="257D111F"/>
    <w:rsid w:val="258D240C"/>
    <w:rsid w:val="25983863"/>
    <w:rsid w:val="259F4BF2"/>
    <w:rsid w:val="25A466AC"/>
    <w:rsid w:val="25B9469E"/>
    <w:rsid w:val="25C60BA5"/>
    <w:rsid w:val="25C64874"/>
    <w:rsid w:val="25C805EC"/>
    <w:rsid w:val="25C96113"/>
    <w:rsid w:val="25D649BC"/>
    <w:rsid w:val="25DA20CE"/>
    <w:rsid w:val="25DF1492"/>
    <w:rsid w:val="25E35426"/>
    <w:rsid w:val="25E76599"/>
    <w:rsid w:val="25E90563"/>
    <w:rsid w:val="25EF3DCB"/>
    <w:rsid w:val="25F413E1"/>
    <w:rsid w:val="26025181"/>
    <w:rsid w:val="26040EF9"/>
    <w:rsid w:val="2604539D"/>
    <w:rsid w:val="26070D2F"/>
    <w:rsid w:val="26084E8D"/>
    <w:rsid w:val="260F2F2A"/>
    <w:rsid w:val="261559F4"/>
    <w:rsid w:val="262010D3"/>
    <w:rsid w:val="262670C1"/>
    <w:rsid w:val="262B0B7B"/>
    <w:rsid w:val="26320DC1"/>
    <w:rsid w:val="26321F0A"/>
    <w:rsid w:val="26395046"/>
    <w:rsid w:val="263F5861"/>
    <w:rsid w:val="264439EB"/>
    <w:rsid w:val="26451785"/>
    <w:rsid w:val="264659B5"/>
    <w:rsid w:val="26471C0C"/>
    <w:rsid w:val="264A7253"/>
    <w:rsid w:val="26526108"/>
    <w:rsid w:val="265359DC"/>
    <w:rsid w:val="26555BF8"/>
    <w:rsid w:val="265B1863"/>
    <w:rsid w:val="266100F9"/>
    <w:rsid w:val="26633E71"/>
    <w:rsid w:val="266B45B7"/>
    <w:rsid w:val="26790AB9"/>
    <w:rsid w:val="267E0CAB"/>
    <w:rsid w:val="267E2E0E"/>
    <w:rsid w:val="267F47CD"/>
    <w:rsid w:val="26832765"/>
    <w:rsid w:val="268470F8"/>
    <w:rsid w:val="268D5392"/>
    <w:rsid w:val="26975B1A"/>
    <w:rsid w:val="269C3827"/>
    <w:rsid w:val="26A52B97"/>
    <w:rsid w:val="26BC17D3"/>
    <w:rsid w:val="26BE04D9"/>
    <w:rsid w:val="26DA3F62"/>
    <w:rsid w:val="26E72CF4"/>
    <w:rsid w:val="26EE4083"/>
    <w:rsid w:val="26FD42C6"/>
    <w:rsid w:val="27054C5E"/>
    <w:rsid w:val="271A0364"/>
    <w:rsid w:val="27202600"/>
    <w:rsid w:val="2729330D"/>
    <w:rsid w:val="272E26D1"/>
    <w:rsid w:val="27367680"/>
    <w:rsid w:val="2737475D"/>
    <w:rsid w:val="273852FE"/>
    <w:rsid w:val="2739298C"/>
    <w:rsid w:val="273E043A"/>
    <w:rsid w:val="27507C1B"/>
    <w:rsid w:val="27507E1A"/>
    <w:rsid w:val="276E6F72"/>
    <w:rsid w:val="27710810"/>
    <w:rsid w:val="27712DCF"/>
    <w:rsid w:val="27716A62"/>
    <w:rsid w:val="27766F8B"/>
    <w:rsid w:val="277976C4"/>
    <w:rsid w:val="277A3B68"/>
    <w:rsid w:val="277D5407"/>
    <w:rsid w:val="278117B3"/>
    <w:rsid w:val="27854130"/>
    <w:rsid w:val="27871DE1"/>
    <w:rsid w:val="278E508A"/>
    <w:rsid w:val="27934C2A"/>
    <w:rsid w:val="279B588D"/>
    <w:rsid w:val="279B763B"/>
    <w:rsid w:val="27A40BE5"/>
    <w:rsid w:val="27AB1F74"/>
    <w:rsid w:val="27BC5F2F"/>
    <w:rsid w:val="27D86AE1"/>
    <w:rsid w:val="27DE3C65"/>
    <w:rsid w:val="27DF1C1D"/>
    <w:rsid w:val="27E20D6D"/>
    <w:rsid w:val="27E45486"/>
    <w:rsid w:val="27EA7313"/>
    <w:rsid w:val="27F72250"/>
    <w:rsid w:val="28041684"/>
    <w:rsid w:val="280D678A"/>
    <w:rsid w:val="280F017E"/>
    <w:rsid w:val="28113369"/>
    <w:rsid w:val="28137B19"/>
    <w:rsid w:val="281A0EA7"/>
    <w:rsid w:val="281C69CE"/>
    <w:rsid w:val="28213FE4"/>
    <w:rsid w:val="282646A7"/>
    <w:rsid w:val="282B38D4"/>
    <w:rsid w:val="28373807"/>
    <w:rsid w:val="28450D65"/>
    <w:rsid w:val="284D4DD9"/>
    <w:rsid w:val="284D4FC9"/>
    <w:rsid w:val="285272AD"/>
    <w:rsid w:val="28550131"/>
    <w:rsid w:val="285B4667"/>
    <w:rsid w:val="285E09A4"/>
    <w:rsid w:val="28624634"/>
    <w:rsid w:val="28687E65"/>
    <w:rsid w:val="286A715B"/>
    <w:rsid w:val="286D7229"/>
    <w:rsid w:val="287062B6"/>
    <w:rsid w:val="287265EE"/>
    <w:rsid w:val="28732460"/>
    <w:rsid w:val="28754330"/>
    <w:rsid w:val="287C683E"/>
    <w:rsid w:val="288822B5"/>
    <w:rsid w:val="288F53F1"/>
    <w:rsid w:val="28940C5A"/>
    <w:rsid w:val="28956780"/>
    <w:rsid w:val="289B3D96"/>
    <w:rsid w:val="289B7D0F"/>
    <w:rsid w:val="289D2732"/>
    <w:rsid w:val="28A601E8"/>
    <w:rsid w:val="28AF2BEF"/>
    <w:rsid w:val="28B208E1"/>
    <w:rsid w:val="28B65159"/>
    <w:rsid w:val="28C16A3D"/>
    <w:rsid w:val="28C332ED"/>
    <w:rsid w:val="28C4446E"/>
    <w:rsid w:val="28C74BE6"/>
    <w:rsid w:val="28CE5BC0"/>
    <w:rsid w:val="28D61C74"/>
    <w:rsid w:val="28DB0637"/>
    <w:rsid w:val="28E31C6F"/>
    <w:rsid w:val="28E62B38"/>
    <w:rsid w:val="28E633B8"/>
    <w:rsid w:val="28EA0744"/>
    <w:rsid w:val="28EA2628"/>
    <w:rsid w:val="28F36C16"/>
    <w:rsid w:val="29051210"/>
    <w:rsid w:val="29121B7F"/>
    <w:rsid w:val="291B4F60"/>
    <w:rsid w:val="292845BD"/>
    <w:rsid w:val="292F44DF"/>
    <w:rsid w:val="294208BC"/>
    <w:rsid w:val="294A1318"/>
    <w:rsid w:val="294B306D"/>
    <w:rsid w:val="29567A3B"/>
    <w:rsid w:val="295B6776"/>
    <w:rsid w:val="295C2DFA"/>
    <w:rsid w:val="295D729E"/>
    <w:rsid w:val="29607107"/>
    <w:rsid w:val="296A5517"/>
    <w:rsid w:val="29752839"/>
    <w:rsid w:val="29763EBB"/>
    <w:rsid w:val="29765A25"/>
    <w:rsid w:val="297665B1"/>
    <w:rsid w:val="297939AC"/>
    <w:rsid w:val="297D68C1"/>
    <w:rsid w:val="297F5466"/>
    <w:rsid w:val="298A7967"/>
    <w:rsid w:val="29910CF5"/>
    <w:rsid w:val="299407E6"/>
    <w:rsid w:val="29942DCD"/>
    <w:rsid w:val="299F1664"/>
    <w:rsid w:val="29AA1DB7"/>
    <w:rsid w:val="29B82726"/>
    <w:rsid w:val="29BA64A0"/>
    <w:rsid w:val="29BB1E01"/>
    <w:rsid w:val="29BE0B4E"/>
    <w:rsid w:val="29C504FC"/>
    <w:rsid w:val="29C70DEA"/>
    <w:rsid w:val="29CA5CAE"/>
    <w:rsid w:val="29CD5935"/>
    <w:rsid w:val="29CE019B"/>
    <w:rsid w:val="29CE4ADF"/>
    <w:rsid w:val="29D11A3A"/>
    <w:rsid w:val="29D8316A"/>
    <w:rsid w:val="29EB2AFB"/>
    <w:rsid w:val="29F179E6"/>
    <w:rsid w:val="29F86FC6"/>
    <w:rsid w:val="29FC6AB7"/>
    <w:rsid w:val="2A091203"/>
    <w:rsid w:val="2A1D07DB"/>
    <w:rsid w:val="2A2049DE"/>
    <w:rsid w:val="2A2878AC"/>
    <w:rsid w:val="2A2E6F54"/>
    <w:rsid w:val="2A4E308A"/>
    <w:rsid w:val="2A5942A3"/>
    <w:rsid w:val="2A612DBE"/>
    <w:rsid w:val="2A64465C"/>
    <w:rsid w:val="2A663BCC"/>
    <w:rsid w:val="2A6B4332"/>
    <w:rsid w:val="2A7720BD"/>
    <w:rsid w:val="2A7F1496"/>
    <w:rsid w:val="2A846AAC"/>
    <w:rsid w:val="2A862824"/>
    <w:rsid w:val="2A924E16"/>
    <w:rsid w:val="2A950CB9"/>
    <w:rsid w:val="2A9A62D0"/>
    <w:rsid w:val="2A9C3DF6"/>
    <w:rsid w:val="2A9D41C3"/>
    <w:rsid w:val="2A9F7442"/>
    <w:rsid w:val="2AA44602"/>
    <w:rsid w:val="2AA607D0"/>
    <w:rsid w:val="2AAB4039"/>
    <w:rsid w:val="2ABC1DA2"/>
    <w:rsid w:val="2AC11AAE"/>
    <w:rsid w:val="2AC1385C"/>
    <w:rsid w:val="2ACB16D0"/>
    <w:rsid w:val="2ACB546D"/>
    <w:rsid w:val="2AE412F9"/>
    <w:rsid w:val="2AE61515"/>
    <w:rsid w:val="2AEA2DB3"/>
    <w:rsid w:val="2AEB595E"/>
    <w:rsid w:val="2AED4651"/>
    <w:rsid w:val="2AFC2AE6"/>
    <w:rsid w:val="2B067A32"/>
    <w:rsid w:val="2B073965"/>
    <w:rsid w:val="2B094DCD"/>
    <w:rsid w:val="2B165705"/>
    <w:rsid w:val="2B1A4D1A"/>
    <w:rsid w:val="2B2067D5"/>
    <w:rsid w:val="2B22254D"/>
    <w:rsid w:val="2B270BE9"/>
    <w:rsid w:val="2B284C43"/>
    <w:rsid w:val="2B2C6B86"/>
    <w:rsid w:val="2B3C3BE4"/>
    <w:rsid w:val="2B3E4EAD"/>
    <w:rsid w:val="2B481888"/>
    <w:rsid w:val="2B514BE0"/>
    <w:rsid w:val="2B520958"/>
    <w:rsid w:val="2B536BAA"/>
    <w:rsid w:val="2B586FFA"/>
    <w:rsid w:val="2B5B780D"/>
    <w:rsid w:val="2B5C6ED9"/>
    <w:rsid w:val="2B664D63"/>
    <w:rsid w:val="2B74267D"/>
    <w:rsid w:val="2B7B6AC1"/>
    <w:rsid w:val="2B7C47AF"/>
    <w:rsid w:val="2B8723B0"/>
    <w:rsid w:val="2B88430B"/>
    <w:rsid w:val="2B91029B"/>
    <w:rsid w:val="2B950BBA"/>
    <w:rsid w:val="2B9D1BD3"/>
    <w:rsid w:val="2BA2368E"/>
    <w:rsid w:val="2BA32F62"/>
    <w:rsid w:val="2BAF6456"/>
    <w:rsid w:val="2BC50EA3"/>
    <w:rsid w:val="2BC7377E"/>
    <w:rsid w:val="2BC75DE7"/>
    <w:rsid w:val="2BCA4992"/>
    <w:rsid w:val="2BCC4267"/>
    <w:rsid w:val="2BD11460"/>
    <w:rsid w:val="2BD4136D"/>
    <w:rsid w:val="2BD657E0"/>
    <w:rsid w:val="2BD90555"/>
    <w:rsid w:val="2BDA2E28"/>
    <w:rsid w:val="2BDF043E"/>
    <w:rsid w:val="2BE041B6"/>
    <w:rsid w:val="2BE47802"/>
    <w:rsid w:val="2BE55328"/>
    <w:rsid w:val="2BE772F2"/>
    <w:rsid w:val="2BE81FCE"/>
    <w:rsid w:val="2BF35EF6"/>
    <w:rsid w:val="2C016606"/>
    <w:rsid w:val="2C025EDA"/>
    <w:rsid w:val="2C071743"/>
    <w:rsid w:val="2C097269"/>
    <w:rsid w:val="2C10021D"/>
    <w:rsid w:val="2C106849"/>
    <w:rsid w:val="2C1240C1"/>
    <w:rsid w:val="2C1520B2"/>
    <w:rsid w:val="2C197987"/>
    <w:rsid w:val="2C1C51EE"/>
    <w:rsid w:val="2C2220D9"/>
    <w:rsid w:val="2C2D7517"/>
    <w:rsid w:val="2C3D5164"/>
    <w:rsid w:val="2C416A03"/>
    <w:rsid w:val="2C55747C"/>
    <w:rsid w:val="2C581F9E"/>
    <w:rsid w:val="2C583D4C"/>
    <w:rsid w:val="2C5C10E7"/>
    <w:rsid w:val="2C5D1363"/>
    <w:rsid w:val="2C5D75B5"/>
    <w:rsid w:val="2C624BCB"/>
    <w:rsid w:val="2C666469"/>
    <w:rsid w:val="2C680433"/>
    <w:rsid w:val="2C6E17C2"/>
    <w:rsid w:val="2C6E3570"/>
    <w:rsid w:val="2C6E6C98"/>
    <w:rsid w:val="2C732934"/>
    <w:rsid w:val="2C7C5C8D"/>
    <w:rsid w:val="2C844B41"/>
    <w:rsid w:val="2C89344C"/>
    <w:rsid w:val="2C950AFD"/>
    <w:rsid w:val="2C970D19"/>
    <w:rsid w:val="2C974875"/>
    <w:rsid w:val="2C9C50C4"/>
    <w:rsid w:val="2CA376BD"/>
    <w:rsid w:val="2CBE11D1"/>
    <w:rsid w:val="2CC63A07"/>
    <w:rsid w:val="2CCA7779"/>
    <w:rsid w:val="2CD06059"/>
    <w:rsid w:val="2CDA0C05"/>
    <w:rsid w:val="2CDE06F5"/>
    <w:rsid w:val="2CDF621C"/>
    <w:rsid w:val="2CE33F5E"/>
    <w:rsid w:val="2CEF2903"/>
    <w:rsid w:val="2CF31A01"/>
    <w:rsid w:val="2CF55A3F"/>
    <w:rsid w:val="2CF577ED"/>
    <w:rsid w:val="2CF61D43"/>
    <w:rsid w:val="2CFC0B7C"/>
    <w:rsid w:val="2D076F07"/>
    <w:rsid w:val="2D0A3FED"/>
    <w:rsid w:val="2D0A773C"/>
    <w:rsid w:val="2D0A7F39"/>
    <w:rsid w:val="2D0B5263"/>
    <w:rsid w:val="2D1265F1"/>
    <w:rsid w:val="2D1C4D7A"/>
    <w:rsid w:val="2D1E4F96"/>
    <w:rsid w:val="2D2325AC"/>
    <w:rsid w:val="2D3622E0"/>
    <w:rsid w:val="2D3E1538"/>
    <w:rsid w:val="2D431498"/>
    <w:rsid w:val="2D480265"/>
    <w:rsid w:val="2D48568B"/>
    <w:rsid w:val="2D4F15F3"/>
    <w:rsid w:val="2D502C75"/>
    <w:rsid w:val="2D51250B"/>
    <w:rsid w:val="2D515EDF"/>
    <w:rsid w:val="2D5269EE"/>
    <w:rsid w:val="2D590C84"/>
    <w:rsid w:val="2D630BFB"/>
    <w:rsid w:val="2D6B0204"/>
    <w:rsid w:val="2D6D1A79"/>
    <w:rsid w:val="2D6E2ED1"/>
    <w:rsid w:val="2D712B94"/>
    <w:rsid w:val="2D7E3C87"/>
    <w:rsid w:val="2D8D21DF"/>
    <w:rsid w:val="2D9016E9"/>
    <w:rsid w:val="2D92328E"/>
    <w:rsid w:val="2D940DB4"/>
    <w:rsid w:val="2D957A25"/>
    <w:rsid w:val="2D984D48"/>
    <w:rsid w:val="2D9E60D7"/>
    <w:rsid w:val="2DAA05D8"/>
    <w:rsid w:val="2DC32BF5"/>
    <w:rsid w:val="2DC72F38"/>
    <w:rsid w:val="2DC93154"/>
    <w:rsid w:val="2DCD05B4"/>
    <w:rsid w:val="2DE01F17"/>
    <w:rsid w:val="2DE3515E"/>
    <w:rsid w:val="2DEB2142"/>
    <w:rsid w:val="2DF2432C"/>
    <w:rsid w:val="2DF33D2D"/>
    <w:rsid w:val="2DF615EA"/>
    <w:rsid w:val="2DFA2220"/>
    <w:rsid w:val="2DFB52D7"/>
    <w:rsid w:val="2E0028ED"/>
    <w:rsid w:val="2E051CB2"/>
    <w:rsid w:val="2E09646E"/>
    <w:rsid w:val="2E0A22D5"/>
    <w:rsid w:val="2E0C1292"/>
    <w:rsid w:val="2E0E51FE"/>
    <w:rsid w:val="2E0F7B46"/>
    <w:rsid w:val="2E1168A9"/>
    <w:rsid w:val="2E162111"/>
    <w:rsid w:val="2E2036C9"/>
    <w:rsid w:val="2E25003C"/>
    <w:rsid w:val="2E262354"/>
    <w:rsid w:val="2E2C36E3"/>
    <w:rsid w:val="2E2C5491"/>
    <w:rsid w:val="2E33681F"/>
    <w:rsid w:val="2E3422F8"/>
    <w:rsid w:val="2E3F0C81"/>
    <w:rsid w:val="2E3F51C4"/>
    <w:rsid w:val="2E4A4A48"/>
    <w:rsid w:val="2E587090"/>
    <w:rsid w:val="2E5F1C6C"/>
    <w:rsid w:val="2E614260"/>
    <w:rsid w:val="2E627104"/>
    <w:rsid w:val="2E6764C9"/>
    <w:rsid w:val="2E760246"/>
    <w:rsid w:val="2E826461"/>
    <w:rsid w:val="2E840E29"/>
    <w:rsid w:val="2E861045"/>
    <w:rsid w:val="2E8E1CA7"/>
    <w:rsid w:val="2E935F8A"/>
    <w:rsid w:val="2E951288"/>
    <w:rsid w:val="2EA339A5"/>
    <w:rsid w:val="2EA72782"/>
    <w:rsid w:val="2EB060C2"/>
    <w:rsid w:val="2EB07C6D"/>
    <w:rsid w:val="2EB46FC5"/>
    <w:rsid w:val="2EB628DA"/>
    <w:rsid w:val="2EB67349"/>
    <w:rsid w:val="2EB931C8"/>
    <w:rsid w:val="2EBA6F40"/>
    <w:rsid w:val="2EC20149"/>
    <w:rsid w:val="2EC523EE"/>
    <w:rsid w:val="2EC57B6B"/>
    <w:rsid w:val="2EC97183"/>
    <w:rsid w:val="2ED55B28"/>
    <w:rsid w:val="2ED973C6"/>
    <w:rsid w:val="2EE45D6B"/>
    <w:rsid w:val="2EF73CF0"/>
    <w:rsid w:val="2EF95138"/>
    <w:rsid w:val="2F0106CB"/>
    <w:rsid w:val="2F0E519C"/>
    <w:rsid w:val="2F104DB2"/>
    <w:rsid w:val="2F1139A0"/>
    <w:rsid w:val="2F1403FE"/>
    <w:rsid w:val="2F1A178D"/>
    <w:rsid w:val="2F266384"/>
    <w:rsid w:val="2F2D5E1A"/>
    <w:rsid w:val="2F2F5D1B"/>
    <w:rsid w:val="2F316182"/>
    <w:rsid w:val="2F320885"/>
    <w:rsid w:val="2F34284F"/>
    <w:rsid w:val="2F3445FD"/>
    <w:rsid w:val="2F360741"/>
    <w:rsid w:val="2F3B7E86"/>
    <w:rsid w:val="2F4245AA"/>
    <w:rsid w:val="2F462582"/>
    <w:rsid w:val="2F4963B6"/>
    <w:rsid w:val="2F4B7B98"/>
    <w:rsid w:val="2F570146"/>
    <w:rsid w:val="2F646705"/>
    <w:rsid w:val="2F6F7D2B"/>
    <w:rsid w:val="2F8E52CD"/>
    <w:rsid w:val="2F8F4B2E"/>
    <w:rsid w:val="2F921632"/>
    <w:rsid w:val="2F971030"/>
    <w:rsid w:val="2F972DDE"/>
    <w:rsid w:val="2F977A84"/>
    <w:rsid w:val="2F9B467C"/>
    <w:rsid w:val="2F9C21A2"/>
    <w:rsid w:val="2FA01C92"/>
    <w:rsid w:val="2FA155D1"/>
    <w:rsid w:val="2FAD0853"/>
    <w:rsid w:val="2FB14F22"/>
    <w:rsid w:val="2FB7002A"/>
    <w:rsid w:val="2FB868A3"/>
    <w:rsid w:val="2FBD4A1A"/>
    <w:rsid w:val="2FCB375B"/>
    <w:rsid w:val="2FCC7481"/>
    <w:rsid w:val="2FCF4325"/>
    <w:rsid w:val="2FDE6C5E"/>
    <w:rsid w:val="2FE53B49"/>
    <w:rsid w:val="2FEF49C8"/>
    <w:rsid w:val="2FEF6776"/>
    <w:rsid w:val="2FF3270A"/>
    <w:rsid w:val="2FF7556D"/>
    <w:rsid w:val="2FFD38EF"/>
    <w:rsid w:val="300761B5"/>
    <w:rsid w:val="300A7223"/>
    <w:rsid w:val="300C37CC"/>
    <w:rsid w:val="30142680"/>
    <w:rsid w:val="3015598B"/>
    <w:rsid w:val="3017590C"/>
    <w:rsid w:val="301E705B"/>
    <w:rsid w:val="30205B41"/>
    <w:rsid w:val="30207EA1"/>
    <w:rsid w:val="302E54F0"/>
    <w:rsid w:val="30336FAA"/>
    <w:rsid w:val="30360848"/>
    <w:rsid w:val="3038011D"/>
    <w:rsid w:val="303845C1"/>
    <w:rsid w:val="303B19BB"/>
    <w:rsid w:val="303B7C0D"/>
    <w:rsid w:val="303E14AB"/>
    <w:rsid w:val="303F76FD"/>
    <w:rsid w:val="304765B2"/>
    <w:rsid w:val="304F5466"/>
    <w:rsid w:val="305C0C0B"/>
    <w:rsid w:val="305F1531"/>
    <w:rsid w:val="30901D07"/>
    <w:rsid w:val="30921CAB"/>
    <w:rsid w:val="309A4933"/>
    <w:rsid w:val="309F019C"/>
    <w:rsid w:val="30A65D73"/>
    <w:rsid w:val="30A9101A"/>
    <w:rsid w:val="30B976E9"/>
    <w:rsid w:val="30C01930"/>
    <w:rsid w:val="30C44F73"/>
    <w:rsid w:val="30C73266"/>
    <w:rsid w:val="30D140CD"/>
    <w:rsid w:val="30DC4F4C"/>
    <w:rsid w:val="30DD1801"/>
    <w:rsid w:val="30E016AE"/>
    <w:rsid w:val="30E42053"/>
    <w:rsid w:val="30F5600E"/>
    <w:rsid w:val="30F962A3"/>
    <w:rsid w:val="30FA3624"/>
    <w:rsid w:val="30FC114A"/>
    <w:rsid w:val="31035B63"/>
    <w:rsid w:val="310C5ADB"/>
    <w:rsid w:val="310E70CF"/>
    <w:rsid w:val="31140B8A"/>
    <w:rsid w:val="311639BF"/>
    <w:rsid w:val="311A4537"/>
    <w:rsid w:val="312355BE"/>
    <w:rsid w:val="3125090A"/>
    <w:rsid w:val="31264419"/>
    <w:rsid w:val="31282327"/>
    <w:rsid w:val="312B5ED3"/>
    <w:rsid w:val="31470076"/>
    <w:rsid w:val="314B0324"/>
    <w:rsid w:val="31503DFE"/>
    <w:rsid w:val="315E75B6"/>
    <w:rsid w:val="316136A3"/>
    <w:rsid w:val="316B7477"/>
    <w:rsid w:val="31747780"/>
    <w:rsid w:val="31773D8F"/>
    <w:rsid w:val="3179279B"/>
    <w:rsid w:val="318615CB"/>
    <w:rsid w:val="31875001"/>
    <w:rsid w:val="318B0720"/>
    <w:rsid w:val="31912C1A"/>
    <w:rsid w:val="31927D00"/>
    <w:rsid w:val="31932498"/>
    <w:rsid w:val="3195334D"/>
    <w:rsid w:val="319B054E"/>
    <w:rsid w:val="319F23D5"/>
    <w:rsid w:val="319F5F79"/>
    <w:rsid w:val="31AF08B2"/>
    <w:rsid w:val="31B22151"/>
    <w:rsid w:val="31B25CAD"/>
    <w:rsid w:val="31B35B29"/>
    <w:rsid w:val="31C0661C"/>
    <w:rsid w:val="31D2634F"/>
    <w:rsid w:val="31D5284E"/>
    <w:rsid w:val="31DB16A7"/>
    <w:rsid w:val="31E073DA"/>
    <w:rsid w:val="31EA3699"/>
    <w:rsid w:val="31F6028F"/>
    <w:rsid w:val="31F91B2E"/>
    <w:rsid w:val="31FD0170"/>
    <w:rsid w:val="31FE335B"/>
    <w:rsid w:val="31FE7144"/>
    <w:rsid w:val="32073C31"/>
    <w:rsid w:val="320C5B6C"/>
    <w:rsid w:val="320C7AB3"/>
    <w:rsid w:val="32117725"/>
    <w:rsid w:val="321921D0"/>
    <w:rsid w:val="322748ED"/>
    <w:rsid w:val="3227669B"/>
    <w:rsid w:val="32290665"/>
    <w:rsid w:val="322C5A5F"/>
    <w:rsid w:val="322F37A1"/>
    <w:rsid w:val="32313FA5"/>
    <w:rsid w:val="32340DB8"/>
    <w:rsid w:val="32342B66"/>
    <w:rsid w:val="32385C4C"/>
    <w:rsid w:val="323B0398"/>
    <w:rsid w:val="323D5EBE"/>
    <w:rsid w:val="3240775C"/>
    <w:rsid w:val="32427031"/>
    <w:rsid w:val="32427980"/>
    <w:rsid w:val="32432DA9"/>
    <w:rsid w:val="32454D73"/>
    <w:rsid w:val="325F4087"/>
    <w:rsid w:val="32621481"/>
    <w:rsid w:val="3266269C"/>
    <w:rsid w:val="326C2EB2"/>
    <w:rsid w:val="32785148"/>
    <w:rsid w:val="32790CE2"/>
    <w:rsid w:val="327F64D7"/>
    <w:rsid w:val="3281224F"/>
    <w:rsid w:val="32917FB8"/>
    <w:rsid w:val="32957AA8"/>
    <w:rsid w:val="32AB72CC"/>
    <w:rsid w:val="32AC3044"/>
    <w:rsid w:val="32AC4DF2"/>
    <w:rsid w:val="32BE0006"/>
    <w:rsid w:val="32C043F9"/>
    <w:rsid w:val="32C51A10"/>
    <w:rsid w:val="32C55E2E"/>
    <w:rsid w:val="32C72463"/>
    <w:rsid w:val="32CD050A"/>
    <w:rsid w:val="32CE6B16"/>
    <w:rsid w:val="32DA6B3A"/>
    <w:rsid w:val="32DC7485"/>
    <w:rsid w:val="32E17D85"/>
    <w:rsid w:val="32E4458C"/>
    <w:rsid w:val="32E91BA2"/>
    <w:rsid w:val="32F23BB9"/>
    <w:rsid w:val="32F50547"/>
    <w:rsid w:val="32F627D3"/>
    <w:rsid w:val="32FD5BB2"/>
    <w:rsid w:val="33022C64"/>
    <w:rsid w:val="33093FF2"/>
    <w:rsid w:val="330A7FA5"/>
    <w:rsid w:val="331F7372"/>
    <w:rsid w:val="33240E2C"/>
    <w:rsid w:val="33254F2D"/>
    <w:rsid w:val="332C76C1"/>
    <w:rsid w:val="33371848"/>
    <w:rsid w:val="33396201"/>
    <w:rsid w:val="333A615E"/>
    <w:rsid w:val="333C6176"/>
    <w:rsid w:val="3343331A"/>
    <w:rsid w:val="3344502A"/>
    <w:rsid w:val="3347756E"/>
    <w:rsid w:val="335039CF"/>
    <w:rsid w:val="33527747"/>
    <w:rsid w:val="33550FE6"/>
    <w:rsid w:val="33552D94"/>
    <w:rsid w:val="33571989"/>
    <w:rsid w:val="33596D28"/>
    <w:rsid w:val="335F0A9D"/>
    <w:rsid w:val="335F5C84"/>
    <w:rsid w:val="336D27D3"/>
    <w:rsid w:val="337E691E"/>
    <w:rsid w:val="338342F2"/>
    <w:rsid w:val="33896EE1"/>
    <w:rsid w:val="33931717"/>
    <w:rsid w:val="33981005"/>
    <w:rsid w:val="33AC3669"/>
    <w:rsid w:val="33B11A7C"/>
    <w:rsid w:val="33BB353F"/>
    <w:rsid w:val="33D64760"/>
    <w:rsid w:val="33D733AD"/>
    <w:rsid w:val="33DB773D"/>
    <w:rsid w:val="33E5680D"/>
    <w:rsid w:val="33EC3069"/>
    <w:rsid w:val="33EF542C"/>
    <w:rsid w:val="33F00D0E"/>
    <w:rsid w:val="33F75960"/>
    <w:rsid w:val="33FB1B8D"/>
    <w:rsid w:val="33FD2827"/>
    <w:rsid w:val="34012F1B"/>
    <w:rsid w:val="34050C5E"/>
    <w:rsid w:val="340F388A"/>
    <w:rsid w:val="340F73E6"/>
    <w:rsid w:val="341E492E"/>
    <w:rsid w:val="342310E4"/>
    <w:rsid w:val="34264730"/>
    <w:rsid w:val="34266DEB"/>
    <w:rsid w:val="342842DC"/>
    <w:rsid w:val="34296EA8"/>
    <w:rsid w:val="342C3BA0"/>
    <w:rsid w:val="34311A53"/>
    <w:rsid w:val="3433408B"/>
    <w:rsid w:val="343C3F54"/>
    <w:rsid w:val="343D5072"/>
    <w:rsid w:val="3442156A"/>
    <w:rsid w:val="344A041F"/>
    <w:rsid w:val="344C23E9"/>
    <w:rsid w:val="344D35BF"/>
    <w:rsid w:val="344E3224"/>
    <w:rsid w:val="345319C9"/>
    <w:rsid w:val="345D6C30"/>
    <w:rsid w:val="34626CB0"/>
    <w:rsid w:val="34670FD0"/>
    <w:rsid w:val="347100A1"/>
    <w:rsid w:val="34741B06"/>
    <w:rsid w:val="34831B82"/>
    <w:rsid w:val="34936269"/>
    <w:rsid w:val="34A50E12"/>
    <w:rsid w:val="34A83397"/>
    <w:rsid w:val="34AA525E"/>
    <w:rsid w:val="34BF0E0C"/>
    <w:rsid w:val="34C06933"/>
    <w:rsid w:val="34C957E7"/>
    <w:rsid w:val="34CC3529"/>
    <w:rsid w:val="34D92962"/>
    <w:rsid w:val="34DA3E98"/>
    <w:rsid w:val="34DB19BE"/>
    <w:rsid w:val="34DB376C"/>
    <w:rsid w:val="34E70363"/>
    <w:rsid w:val="34E73EBF"/>
    <w:rsid w:val="34EC7728"/>
    <w:rsid w:val="34F811AC"/>
    <w:rsid w:val="34FB5BBD"/>
    <w:rsid w:val="35060391"/>
    <w:rsid w:val="350B22A4"/>
    <w:rsid w:val="350E5A70"/>
    <w:rsid w:val="3518051D"/>
    <w:rsid w:val="35317973"/>
    <w:rsid w:val="3532368F"/>
    <w:rsid w:val="353510CF"/>
    <w:rsid w:val="3538296D"/>
    <w:rsid w:val="353D7F83"/>
    <w:rsid w:val="354237EC"/>
    <w:rsid w:val="35464287"/>
    <w:rsid w:val="354873D0"/>
    <w:rsid w:val="35487F57"/>
    <w:rsid w:val="354D6418"/>
    <w:rsid w:val="355D23D3"/>
    <w:rsid w:val="35647C06"/>
    <w:rsid w:val="357154C3"/>
    <w:rsid w:val="35794D6E"/>
    <w:rsid w:val="357F234A"/>
    <w:rsid w:val="35814314"/>
    <w:rsid w:val="35847960"/>
    <w:rsid w:val="358838F4"/>
    <w:rsid w:val="358D0F0B"/>
    <w:rsid w:val="35957DBF"/>
    <w:rsid w:val="35AA1A42"/>
    <w:rsid w:val="35AB313F"/>
    <w:rsid w:val="35AC3993"/>
    <w:rsid w:val="35BB3A30"/>
    <w:rsid w:val="35BC17F0"/>
    <w:rsid w:val="35BE4861"/>
    <w:rsid w:val="35C37C9F"/>
    <w:rsid w:val="35C610B8"/>
    <w:rsid w:val="35C67C93"/>
    <w:rsid w:val="35D02BA5"/>
    <w:rsid w:val="35D568E8"/>
    <w:rsid w:val="35E0728C"/>
    <w:rsid w:val="35E26C6D"/>
    <w:rsid w:val="35F47D8F"/>
    <w:rsid w:val="35FA0B23"/>
    <w:rsid w:val="35FA5E74"/>
    <w:rsid w:val="36034D29"/>
    <w:rsid w:val="36056CF3"/>
    <w:rsid w:val="36062A6B"/>
    <w:rsid w:val="360D3DFA"/>
    <w:rsid w:val="36211684"/>
    <w:rsid w:val="362512D4"/>
    <w:rsid w:val="36256C48"/>
    <w:rsid w:val="362A0508"/>
    <w:rsid w:val="362A0935"/>
    <w:rsid w:val="362B4280"/>
    <w:rsid w:val="363629EF"/>
    <w:rsid w:val="36415851"/>
    <w:rsid w:val="36575075"/>
    <w:rsid w:val="365B6DDC"/>
    <w:rsid w:val="367500A8"/>
    <w:rsid w:val="367D0F7F"/>
    <w:rsid w:val="368D0A96"/>
    <w:rsid w:val="368F2A60"/>
    <w:rsid w:val="36975857"/>
    <w:rsid w:val="36981915"/>
    <w:rsid w:val="369968EB"/>
    <w:rsid w:val="36A06007"/>
    <w:rsid w:val="36A62454"/>
    <w:rsid w:val="36B97ADD"/>
    <w:rsid w:val="36C546D4"/>
    <w:rsid w:val="36C74AA1"/>
    <w:rsid w:val="36D12BB4"/>
    <w:rsid w:val="36E94DEA"/>
    <w:rsid w:val="36E96615"/>
    <w:rsid w:val="36F80606"/>
    <w:rsid w:val="370D0162"/>
    <w:rsid w:val="371116C7"/>
    <w:rsid w:val="37113475"/>
    <w:rsid w:val="37177E68"/>
    <w:rsid w:val="37182A56"/>
    <w:rsid w:val="371C0798"/>
    <w:rsid w:val="371D62BE"/>
    <w:rsid w:val="371D6F06"/>
    <w:rsid w:val="37210533"/>
    <w:rsid w:val="372431A9"/>
    <w:rsid w:val="3732332F"/>
    <w:rsid w:val="37337890"/>
    <w:rsid w:val="37405B09"/>
    <w:rsid w:val="37411658"/>
    <w:rsid w:val="37461139"/>
    <w:rsid w:val="37514C47"/>
    <w:rsid w:val="375515B4"/>
    <w:rsid w:val="375A6BCB"/>
    <w:rsid w:val="37620175"/>
    <w:rsid w:val="376B527C"/>
    <w:rsid w:val="376C4B50"/>
    <w:rsid w:val="376C68FE"/>
    <w:rsid w:val="37773C4B"/>
    <w:rsid w:val="377814EE"/>
    <w:rsid w:val="377A726D"/>
    <w:rsid w:val="377D0B0B"/>
    <w:rsid w:val="37823F12"/>
    <w:rsid w:val="378C567A"/>
    <w:rsid w:val="379A006E"/>
    <w:rsid w:val="37A367C3"/>
    <w:rsid w:val="37A5226F"/>
    <w:rsid w:val="37A816E2"/>
    <w:rsid w:val="37AC6020"/>
    <w:rsid w:val="37AC603F"/>
    <w:rsid w:val="37B3277F"/>
    <w:rsid w:val="37B65D16"/>
    <w:rsid w:val="37BA3B0D"/>
    <w:rsid w:val="37BF2ED1"/>
    <w:rsid w:val="37C96C92"/>
    <w:rsid w:val="37CB5D1A"/>
    <w:rsid w:val="37CD1A92"/>
    <w:rsid w:val="37CE0BEA"/>
    <w:rsid w:val="37CF580A"/>
    <w:rsid w:val="37D8371A"/>
    <w:rsid w:val="37DD15AA"/>
    <w:rsid w:val="37E40B8A"/>
    <w:rsid w:val="37F569B6"/>
    <w:rsid w:val="37F62C52"/>
    <w:rsid w:val="37FA03AE"/>
    <w:rsid w:val="37FA5CA2"/>
    <w:rsid w:val="37FB65FF"/>
    <w:rsid w:val="3806412E"/>
    <w:rsid w:val="38066D52"/>
    <w:rsid w:val="38084878"/>
    <w:rsid w:val="382316B2"/>
    <w:rsid w:val="382F62A9"/>
    <w:rsid w:val="383A7C01"/>
    <w:rsid w:val="38417D8A"/>
    <w:rsid w:val="384A6C3F"/>
    <w:rsid w:val="3851621F"/>
    <w:rsid w:val="38561A88"/>
    <w:rsid w:val="385C2E16"/>
    <w:rsid w:val="38673C95"/>
    <w:rsid w:val="386A5533"/>
    <w:rsid w:val="387737AC"/>
    <w:rsid w:val="38832151"/>
    <w:rsid w:val="388510F1"/>
    <w:rsid w:val="388B2BD7"/>
    <w:rsid w:val="388E0515"/>
    <w:rsid w:val="38A327F3"/>
    <w:rsid w:val="38A5656B"/>
    <w:rsid w:val="38AF73EA"/>
    <w:rsid w:val="38B13162"/>
    <w:rsid w:val="38B30C88"/>
    <w:rsid w:val="38B56C50"/>
    <w:rsid w:val="38B90269"/>
    <w:rsid w:val="38BD37F2"/>
    <w:rsid w:val="38C36D40"/>
    <w:rsid w:val="38C77BCB"/>
    <w:rsid w:val="38D330D8"/>
    <w:rsid w:val="38D67B89"/>
    <w:rsid w:val="38D961FA"/>
    <w:rsid w:val="38DF7CCF"/>
    <w:rsid w:val="38EC2374"/>
    <w:rsid w:val="38EC5F48"/>
    <w:rsid w:val="38ED15DE"/>
    <w:rsid w:val="38EE1CC0"/>
    <w:rsid w:val="38F35529"/>
    <w:rsid w:val="38F848ED"/>
    <w:rsid w:val="38FE5C7B"/>
    <w:rsid w:val="3902751A"/>
    <w:rsid w:val="390A4620"/>
    <w:rsid w:val="390A63CE"/>
    <w:rsid w:val="39167469"/>
    <w:rsid w:val="391B4A7F"/>
    <w:rsid w:val="391D7897"/>
    <w:rsid w:val="391E1E7A"/>
    <w:rsid w:val="391F00CC"/>
    <w:rsid w:val="392C0A3B"/>
    <w:rsid w:val="3937552D"/>
    <w:rsid w:val="39447B32"/>
    <w:rsid w:val="394A5BAB"/>
    <w:rsid w:val="394E7EB8"/>
    <w:rsid w:val="395D048F"/>
    <w:rsid w:val="39663F4D"/>
    <w:rsid w:val="396C52DB"/>
    <w:rsid w:val="396C7089"/>
    <w:rsid w:val="39726E4C"/>
    <w:rsid w:val="397C551E"/>
    <w:rsid w:val="397D3044"/>
    <w:rsid w:val="398B39B3"/>
    <w:rsid w:val="398E611F"/>
    <w:rsid w:val="39934616"/>
    <w:rsid w:val="399F2FBB"/>
    <w:rsid w:val="39A131D7"/>
    <w:rsid w:val="39A22309"/>
    <w:rsid w:val="39A700C1"/>
    <w:rsid w:val="39B0341A"/>
    <w:rsid w:val="39B76556"/>
    <w:rsid w:val="39BF540B"/>
    <w:rsid w:val="39C10885"/>
    <w:rsid w:val="39C63F2C"/>
    <w:rsid w:val="39C649EB"/>
    <w:rsid w:val="39CC499F"/>
    <w:rsid w:val="39CC6FF1"/>
    <w:rsid w:val="39D02EA4"/>
    <w:rsid w:val="39D64915"/>
    <w:rsid w:val="39E10598"/>
    <w:rsid w:val="39E6508D"/>
    <w:rsid w:val="39E80A65"/>
    <w:rsid w:val="39F14C97"/>
    <w:rsid w:val="39FA4695"/>
    <w:rsid w:val="39FC665F"/>
    <w:rsid w:val="39FF1CAB"/>
    <w:rsid w:val="3A02191F"/>
    <w:rsid w:val="3A0E1EEE"/>
    <w:rsid w:val="3A1140AB"/>
    <w:rsid w:val="3A251C25"/>
    <w:rsid w:val="3A2560A7"/>
    <w:rsid w:val="3A2D12E7"/>
    <w:rsid w:val="3A2D4A6A"/>
    <w:rsid w:val="3A3144F9"/>
    <w:rsid w:val="3A3A0F35"/>
    <w:rsid w:val="3A483652"/>
    <w:rsid w:val="3A4B6C9E"/>
    <w:rsid w:val="3A563FC1"/>
    <w:rsid w:val="3A5C0EAC"/>
    <w:rsid w:val="3A5F274A"/>
    <w:rsid w:val="3A622D5F"/>
    <w:rsid w:val="3A685AA2"/>
    <w:rsid w:val="3A6A09ED"/>
    <w:rsid w:val="3A746FA8"/>
    <w:rsid w:val="3A75533F"/>
    <w:rsid w:val="3A810DE1"/>
    <w:rsid w:val="3A830B2E"/>
    <w:rsid w:val="3A8471A8"/>
    <w:rsid w:val="3A876507"/>
    <w:rsid w:val="3A8A0B21"/>
    <w:rsid w:val="3A8B5E4E"/>
    <w:rsid w:val="3A946897"/>
    <w:rsid w:val="3AA919E8"/>
    <w:rsid w:val="3AB64A60"/>
    <w:rsid w:val="3AC0768C"/>
    <w:rsid w:val="3AC3165B"/>
    <w:rsid w:val="3ACD1DA9"/>
    <w:rsid w:val="3ACF167E"/>
    <w:rsid w:val="3AE24E9A"/>
    <w:rsid w:val="3AE25855"/>
    <w:rsid w:val="3AE55345"/>
    <w:rsid w:val="3AED5FA8"/>
    <w:rsid w:val="3AEE41FA"/>
    <w:rsid w:val="3AF37A62"/>
    <w:rsid w:val="3AFB6916"/>
    <w:rsid w:val="3AFC5296"/>
    <w:rsid w:val="3B07233C"/>
    <w:rsid w:val="3B0A599B"/>
    <w:rsid w:val="3B0C5751"/>
    <w:rsid w:val="3B0F23C2"/>
    <w:rsid w:val="3B133C60"/>
    <w:rsid w:val="3B1C5040"/>
    <w:rsid w:val="3B223EA3"/>
    <w:rsid w:val="3B2E0A9A"/>
    <w:rsid w:val="3B2E26A9"/>
    <w:rsid w:val="3B312338"/>
    <w:rsid w:val="3B3D0CDD"/>
    <w:rsid w:val="3B4402BD"/>
    <w:rsid w:val="3B4636BC"/>
    <w:rsid w:val="3B4A33FA"/>
    <w:rsid w:val="3B4E4C98"/>
    <w:rsid w:val="3B506C62"/>
    <w:rsid w:val="3B53405D"/>
    <w:rsid w:val="3B554279"/>
    <w:rsid w:val="3B5F6EA5"/>
    <w:rsid w:val="3B6112A7"/>
    <w:rsid w:val="3B6B584A"/>
    <w:rsid w:val="3B710987"/>
    <w:rsid w:val="3B7D3B22"/>
    <w:rsid w:val="3B7E67CC"/>
    <w:rsid w:val="3B8E6228"/>
    <w:rsid w:val="3B8E6FF2"/>
    <w:rsid w:val="3B8E778B"/>
    <w:rsid w:val="3BA36614"/>
    <w:rsid w:val="3BA83F70"/>
    <w:rsid w:val="3BB15227"/>
    <w:rsid w:val="3BB645EB"/>
    <w:rsid w:val="3BB64C1C"/>
    <w:rsid w:val="3BC211E2"/>
    <w:rsid w:val="3BCC2061"/>
    <w:rsid w:val="3BDA477E"/>
    <w:rsid w:val="3BDC6748"/>
    <w:rsid w:val="3BE127E5"/>
    <w:rsid w:val="3BE41159"/>
    <w:rsid w:val="3BF26A98"/>
    <w:rsid w:val="3BF27D19"/>
    <w:rsid w:val="3BFC2946"/>
    <w:rsid w:val="3C03198E"/>
    <w:rsid w:val="3C06669A"/>
    <w:rsid w:val="3C0B4937"/>
    <w:rsid w:val="3C140102"/>
    <w:rsid w:val="3C1557B6"/>
    <w:rsid w:val="3C1917BC"/>
    <w:rsid w:val="3C1E7DFF"/>
    <w:rsid w:val="3C29300F"/>
    <w:rsid w:val="3C3519B4"/>
    <w:rsid w:val="3C371A00"/>
    <w:rsid w:val="3C3C2D43"/>
    <w:rsid w:val="3C3E2FEF"/>
    <w:rsid w:val="3C4147FD"/>
    <w:rsid w:val="3C460065"/>
    <w:rsid w:val="3C5069B1"/>
    <w:rsid w:val="3C522566"/>
    <w:rsid w:val="3C6329DE"/>
    <w:rsid w:val="3C7526A2"/>
    <w:rsid w:val="3C7B7D0F"/>
    <w:rsid w:val="3C7D50BA"/>
    <w:rsid w:val="3C7F0E81"/>
    <w:rsid w:val="3C7F70D3"/>
    <w:rsid w:val="3C805325"/>
    <w:rsid w:val="3C872058"/>
    <w:rsid w:val="3C894674"/>
    <w:rsid w:val="3C8D7A42"/>
    <w:rsid w:val="3C942B7F"/>
    <w:rsid w:val="3C94492D"/>
    <w:rsid w:val="3C97266F"/>
    <w:rsid w:val="3C9B6B3C"/>
    <w:rsid w:val="3CA37266"/>
    <w:rsid w:val="3CBB0815"/>
    <w:rsid w:val="3CBE7BFC"/>
    <w:rsid w:val="3CBF5A72"/>
    <w:rsid w:val="3CC52D38"/>
    <w:rsid w:val="3CD71855"/>
    <w:rsid w:val="3CED228F"/>
    <w:rsid w:val="3CF0506F"/>
    <w:rsid w:val="3CF900FE"/>
    <w:rsid w:val="3CFB4907"/>
    <w:rsid w:val="3CFE0FA7"/>
    <w:rsid w:val="3CFE662A"/>
    <w:rsid w:val="3D023F8C"/>
    <w:rsid w:val="3D031AB2"/>
    <w:rsid w:val="3D0329CE"/>
    <w:rsid w:val="3D0D122C"/>
    <w:rsid w:val="3D0D46DF"/>
    <w:rsid w:val="3D136199"/>
    <w:rsid w:val="3D145A6E"/>
    <w:rsid w:val="3D17730C"/>
    <w:rsid w:val="3D19791C"/>
    <w:rsid w:val="3D247795"/>
    <w:rsid w:val="3D2802C1"/>
    <w:rsid w:val="3D2A34E3"/>
    <w:rsid w:val="3D2C1009"/>
    <w:rsid w:val="3D347108"/>
    <w:rsid w:val="3D3D3216"/>
    <w:rsid w:val="3D3D4FC4"/>
    <w:rsid w:val="3D3E0D3C"/>
    <w:rsid w:val="3D400345"/>
    <w:rsid w:val="3D402D06"/>
    <w:rsid w:val="3D477BF1"/>
    <w:rsid w:val="3D522838"/>
    <w:rsid w:val="3D5F7179"/>
    <w:rsid w:val="3D676F7C"/>
    <w:rsid w:val="3D6A1B31"/>
    <w:rsid w:val="3D767023"/>
    <w:rsid w:val="3D7824A0"/>
    <w:rsid w:val="3D7E08AA"/>
    <w:rsid w:val="3D7F55DD"/>
    <w:rsid w:val="3D8E75CE"/>
    <w:rsid w:val="3D8F1598"/>
    <w:rsid w:val="3D932E36"/>
    <w:rsid w:val="3D9C17EB"/>
    <w:rsid w:val="3D9D3CB5"/>
    <w:rsid w:val="3DA714C1"/>
    <w:rsid w:val="3DA83401"/>
    <w:rsid w:val="3DB159B2"/>
    <w:rsid w:val="3DBD149D"/>
    <w:rsid w:val="3DC70D32"/>
    <w:rsid w:val="3DD27E02"/>
    <w:rsid w:val="3DD84CED"/>
    <w:rsid w:val="3DE03BA2"/>
    <w:rsid w:val="3DEB0EC4"/>
    <w:rsid w:val="3DEC65C0"/>
    <w:rsid w:val="3DFA4C63"/>
    <w:rsid w:val="3DFE0BF8"/>
    <w:rsid w:val="3E03620E"/>
    <w:rsid w:val="3E047890"/>
    <w:rsid w:val="3E0D29C8"/>
    <w:rsid w:val="3E1026D9"/>
    <w:rsid w:val="3E1675C3"/>
    <w:rsid w:val="3E263CAA"/>
    <w:rsid w:val="3E2B7513"/>
    <w:rsid w:val="3E316DD1"/>
    <w:rsid w:val="3E3C3C8A"/>
    <w:rsid w:val="3E4827C7"/>
    <w:rsid w:val="3E520DC7"/>
    <w:rsid w:val="3E595AE0"/>
    <w:rsid w:val="3E642A25"/>
    <w:rsid w:val="3E697759"/>
    <w:rsid w:val="3E6F72E4"/>
    <w:rsid w:val="3E791760"/>
    <w:rsid w:val="3E7A2248"/>
    <w:rsid w:val="3E7C7D6E"/>
    <w:rsid w:val="3E840488"/>
    <w:rsid w:val="3E864749"/>
    <w:rsid w:val="3E90381A"/>
    <w:rsid w:val="3E9055C8"/>
    <w:rsid w:val="3E915D5E"/>
    <w:rsid w:val="3E9F580B"/>
    <w:rsid w:val="3EA01CAF"/>
    <w:rsid w:val="3EA370A9"/>
    <w:rsid w:val="3EAC495E"/>
    <w:rsid w:val="3EAE3E3D"/>
    <w:rsid w:val="3EB218F1"/>
    <w:rsid w:val="3EB32EF9"/>
    <w:rsid w:val="3EB66989"/>
    <w:rsid w:val="3EB968CD"/>
    <w:rsid w:val="3EBA2645"/>
    <w:rsid w:val="3ECA2888"/>
    <w:rsid w:val="3ED66B2E"/>
    <w:rsid w:val="3EE37DED"/>
    <w:rsid w:val="3EEC4EF4"/>
    <w:rsid w:val="3EF618CF"/>
    <w:rsid w:val="3EF94F1B"/>
    <w:rsid w:val="3EFA2DED"/>
    <w:rsid w:val="3EFF76BA"/>
    <w:rsid w:val="3F037F31"/>
    <w:rsid w:val="3F13447D"/>
    <w:rsid w:val="3F215D86"/>
    <w:rsid w:val="3F253F62"/>
    <w:rsid w:val="3F2921E7"/>
    <w:rsid w:val="3F2A1578"/>
    <w:rsid w:val="3F2B6263"/>
    <w:rsid w:val="3F3D225A"/>
    <w:rsid w:val="3F3E429E"/>
    <w:rsid w:val="3F3F3C49"/>
    <w:rsid w:val="3F415916"/>
    <w:rsid w:val="3F423689"/>
    <w:rsid w:val="3F446ADE"/>
    <w:rsid w:val="3F4E45C7"/>
    <w:rsid w:val="3F52287D"/>
    <w:rsid w:val="3F591E5E"/>
    <w:rsid w:val="3F67457A"/>
    <w:rsid w:val="3F676329"/>
    <w:rsid w:val="3F6A406B"/>
    <w:rsid w:val="3F6C6FB8"/>
    <w:rsid w:val="3F7D5B12"/>
    <w:rsid w:val="3F830C89"/>
    <w:rsid w:val="3F8E7D59"/>
    <w:rsid w:val="3F942E96"/>
    <w:rsid w:val="3F9C4CC9"/>
    <w:rsid w:val="3FA61F8B"/>
    <w:rsid w:val="3FA7706D"/>
    <w:rsid w:val="3FAC6431"/>
    <w:rsid w:val="3FB3156E"/>
    <w:rsid w:val="3FB926FD"/>
    <w:rsid w:val="3FC01EDD"/>
    <w:rsid w:val="3FC92E05"/>
    <w:rsid w:val="3FCD55F4"/>
    <w:rsid w:val="3FCF2B90"/>
    <w:rsid w:val="3FCF5BC4"/>
    <w:rsid w:val="3FD10984"/>
    <w:rsid w:val="3FE129C6"/>
    <w:rsid w:val="3FEC0F24"/>
    <w:rsid w:val="3FF0673A"/>
    <w:rsid w:val="3FF1682D"/>
    <w:rsid w:val="3FFC4F9B"/>
    <w:rsid w:val="3FFF4649"/>
    <w:rsid w:val="400C5122"/>
    <w:rsid w:val="40226394"/>
    <w:rsid w:val="40330901"/>
    <w:rsid w:val="4037219F"/>
    <w:rsid w:val="403C1C40"/>
    <w:rsid w:val="403E177F"/>
    <w:rsid w:val="40454D7F"/>
    <w:rsid w:val="40477F08"/>
    <w:rsid w:val="404C5F2E"/>
    <w:rsid w:val="405C1C05"/>
    <w:rsid w:val="40750F19"/>
    <w:rsid w:val="407C1847"/>
    <w:rsid w:val="407D1816"/>
    <w:rsid w:val="409018AF"/>
    <w:rsid w:val="4091285F"/>
    <w:rsid w:val="409205C7"/>
    <w:rsid w:val="409405BB"/>
    <w:rsid w:val="40972C3D"/>
    <w:rsid w:val="409C46F8"/>
    <w:rsid w:val="40A11D0E"/>
    <w:rsid w:val="40AB5F57"/>
    <w:rsid w:val="40AC46DB"/>
    <w:rsid w:val="40B14E18"/>
    <w:rsid w:val="40B7508E"/>
    <w:rsid w:val="40CA4C19"/>
    <w:rsid w:val="40D043A1"/>
    <w:rsid w:val="40DC5A18"/>
    <w:rsid w:val="40E21D15"/>
    <w:rsid w:val="40E35E83"/>
    <w:rsid w:val="40E425DB"/>
    <w:rsid w:val="40E63BC5"/>
    <w:rsid w:val="40F3190F"/>
    <w:rsid w:val="40F34B7E"/>
    <w:rsid w:val="40FB7670"/>
    <w:rsid w:val="40FD2FC9"/>
    <w:rsid w:val="41023D97"/>
    <w:rsid w:val="410C362B"/>
    <w:rsid w:val="410E7229"/>
    <w:rsid w:val="411424E0"/>
    <w:rsid w:val="411D7FA1"/>
    <w:rsid w:val="41272213"/>
    <w:rsid w:val="412C0E9B"/>
    <w:rsid w:val="413466DE"/>
    <w:rsid w:val="41364E8C"/>
    <w:rsid w:val="4138706A"/>
    <w:rsid w:val="41390199"/>
    <w:rsid w:val="414F52C6"/>
    <w:rsid w:val="41597074"/>
    <w:rsid w:val="415C79E3"/>
    <w:rsid w:val="415E19AD"/>
    <w:rsid w:val="4162149D"/>
    <w:rsid w:val="416C21F2"/>
    <w:rsid w:val="416C231C"/>
    <w:rsid w:val="416F5968"/>
    <w:rsid w:val="41776117"/>
    <w:rsid w:val="41790595"/>
    <w:rsid w:val="417B727D"/>
    <w:rsid w:val="417C4D58"/>
    <w:rsid w:val="417D58F7"/>
    <w:rsid w:val="417E204F"/>
    <w:rsid w:val="41801923"/>
    <w:rsid w:val="41874A60"/>
    <w:rsid w:val="418C651A"/>
    <w:rsid w:val="41943621"/>
    <w:rsid w:val="41971842"/>
    <w:rsid w:val="41992849"/>
    <w:rsid w:val="419E7FFC"/>
    <w:rsid w:val="41B4781F"/>
    <w:rsid w:val="41C645C6"/>
    <w:rsid w:val="41C91AB7"/>
    <w:rsid w:val="41CF4659"/>
    <w:rsid w:val="41DB4DAC"/>
    <w:rsid w:val="41DC11A9"/>
    <w:rsid w:val="41E67FBF"/>
    <w:rsid w:val="41EA0B75"/>
    <w:rsid w:val="41F36599"/>
    <w:rsid w:val="42002A64"/>
    <w:rsid w:val="42025DE2"/>
    <w:rsid w:val="42072045"/>
    <w:rsid w:val="420B38E3"/>
    <w:rsid w:val="420E33D3"/>
    <w:rsid w:val="420E5181"/>
    <w:rsid w:val="42154762"/>
    <w:rsid w:val="421A3B26"/>
    <w:rsid w:val="421D3616"/>
    <w:rsid w:val="421D6B9E"/>
    <w:rsid w:val="421E3C19"/>
    <w:rsid w:val="422A7BDF"/>
    <w:rsid w:val="42310E70"/>
    <w:rsid w:val="42383FAC"/>
    <w:rsid w:val="423A5F76"/>
    <w:rsid w:val="424010B3"/>
    <w:rsid w:val="42517664"/>
    <w:rsid w:val="42521512"/>
    <w:rsid w:val="42635951"/>
    <w:rsid w:val="42664FBD"/>
    <w:rsid w:val="4269060A"/>
    <w:rsid w:val="426F3D3E"/>
    <w:rsid w:val="42701998"/>
    <w:rsid w:val="42713537"/>
    <w:rsid w:val="4274681F"/>
    <w:rsid w:val="427C71B3"/>
    <w:rsid w:val="427F3924"/>
    <w:rsid w:val="427F7E2D"/>
    <w:rsid w:val="42876E33"/>
    <w:rsid w:val="42890CAC"/>
    <w:rsid w:val="428A217B"/>
    <w:rsid w:val="428C5461"/>
    <w:rsid w:val="428E62C2"/>
    <w:rsid w:val="42925DB2"/>
    <w:rsid w:val="42975177"/>
    <w:rsid w:val="42997141"/>
    <w:rsid w:val="429A4C67"/>
    <w:rsid w:val="429A6D6B"/>
    <w:rsid w:val="429F0875"/>
    <w:rsid w:val="42A037E5"/>
    <w:rsid w:val="42AE24C0"/>
    <w:rsid w:val="42B56A72"/>
    <w:rsid w:val="42C23AD9"/>
    <w:rsid w:val="42D361F6"/>
    <w:rsid w:val="42D41FB0"/>
    <w:rsid w:val="42D97547"/>
    <w:rsid w:val="42DE2DA6"/>
    <w:rsid w:val="42DF4EE1"/>
    <w:rsid w:val="42E104B2"/>
    <w:rsid w:val="42E36E7A"/>
    <w:rsid w:val="42E41994"/>
    <w:rsid w:val="42ED2FE9"/>
    <w:rsid w:val="42F275C9"/>
    <w:rsid w:val="42F425C9"/>
    <w:rsid w:val="42F9196C"/>
    <w:rsid w:val="43014961"/>
    <w:rsid w:val="430D5439"/>
    <w:rsid w:val="43110AC5"/>
    <w:rsid w:val="43192030"/>
    <w:rsid w:val="431A7B56"/>
    <w:rsid w:val="431F6F1A"/>
    <w:rsid w:val="432033BE"/>
    <w:rsid w:val="43301127"/>
    <w:rsid w:val="433629E8"/>
    <w:rsid w:val="433A3D54"/>
    <w:rsid w:val="433E55F2"/>
    <w:rsid w:val="434C41B3"/>
    <w:rsid w:val="43572B58"/>
    <w:rsid w:val="43576B5F"/>
    <w:rsid w:val="436F39FE"/>
    <w:rsid w:val="43761230"/>
    <w:rsid w:val="43781824"/>
    <w:rsid w:val="43784FA8"/>
    <w:rsid w:val="437B05F4"/>
    <w:rsid w:val="438C0A54"/>
    <w:rsid w:val="43911BC6"/>
    <w:rsid w:val="43912C5C"/>
    <w:rsid w:val="43923549"/>
    <w:rsid w:val="43A10E97"/>
    <w:rsid w:val="43AC2EA4"/>
    <w:rsid w:val="43B40BF8"/>
    <w:rsid w:val="43C71A8C"/>
    <w:rsid w:val="43C7274B"/>
    <w:rsid w:val="43C8533B"/>
    <w:rsid w:val="43CA50D8"/>
    <w:rsid w:val="43D14CEC"/>
    <w:rsid w:val="43D30155"/>
    <w:rsid w:val="43D321DE"/>
    <w:rsid w:val="43DB1793"/>
    <w:rsid w:val="43DB5537"/>
    <w:rsid w:val="43E0236A"/>
    <w:rsid w:val="43E066A9"/>
    <w:rsid w:val="43E133CB"/>
    <w:rsid w:val="43F32881"/>
    <w:rsid w:val="43F51F89"/>
    <w:rsid w:val="43F63C91"/>
    <w:rsid w:val="440700DA"/>
    <w:rsid w:val="44071E88"/>
    <w:rsid w:val="440A23AC"/>
    <w:rsid w:val="440E3217"/>
    <w:rsid w:val="44293A44"/>
    <w:rsid w:val="44507CD3"/>
    <w:rsid w:val="44587486"/>
    <w:rsid w:val="446077EA"/>
    <w:rsid w:val="44607F1B"/>
    <w:rsid w:val="44623562"/>
    <w:rsid w:val="44627A06"/>
    <w:rsid w:val="44735770"/>
    <w:rsid w:val="4475773A"/>
    <w:rsid w:val="44782D86"/>
    <w:rsid w:val="448259B3"/>
    <w:rsid w:val="448B5125"/>
    <w:rsid w:val="448F1A00"/>
    <w:rsid w:val="4496320C"/>
    <w:rsid w:val="449851D6"/>
    <w:rsid w:val="449C4CC6"/>
    <w:rsid w:val="449E7560"/>
    <w:rsid w:val="449F47B6"/>
    <w:rsid w:val="44A172F6"/>
    <w:rsid w:val="44A54A91"/>
    <w:rsid w:val="44AB18FE"/>
    <w:rsid w:val="44BD4C3D"/>
    <w:rsid w:val="44C10289"/>
    <w:rsid w:val="44C36F40"/>
    <w:rsid w:val="44C45FCB"/>
    <w:rsid w:val="44C935E1"/>
    <w:rsid w:val="44D206E8"/>
    <w:rsid w:val="44D77AAC"/>
    <w:rsid w:val="44DE02F8"/>
    <w:rsid w:val="44EE0683"/>
    <w:rsid w:val="44F64EBF"/>
    <w:rsid w:val="4508464C"/>
    <w:rsid w:val="45091B37"/>
    <w:rsid w:val="45266458"/>
    <w:rsid w:val="45291F17"/>
    <w:rsid w:val="452D591E"/>
    <w:rsid w:val="452F7444"/>
    <w:rsid w:val="4530540F"/>
    <w:rsid w:val="453E73B1"/>
    <w:rsid w:val="453F38A4"/>
    <w:rsid w:val="45433394"/>
    <w:rsid w:val="454809AA"/>
    <w:rsid w:val="45482758"/>
    <w:rsid w:val="454D4212"/>
    <w:rsid w:val="45515F3F"/>
    <w:rsid w:val="455235D7"/>
    <w:rsid w:val="45525385"/>
    <w:rsid w:val="456F4189"/>
    <w:rsid w:val="456F5F37"/>
    <w:rsid w:val="45703A5D"/>
    <w:rsid w:val="45774DEB"/>
    <w:rsid w:val="45795008"/>
    <w:rsid w:val="4581154E"/>
    <w:rsid w:val="459E07E8"/>
    <w:rsid w:val="459F23D6"/>
    <w:rsid w:val="45AC3026"/>
    <w:rsid w:val="45AE39CE"/>
    <w:rsid w:val="45B36658"/>
    <w:rsid w:val="45C53DA9"/>
    <w:rsid w:val="45C857C3"/>
    <w:rsid w:val="45D63146"/>
    <w:rsid w:val="45D93CF8"/>
    <w:rsid w:val="45E561F9"/>
    <w:rsid w:val="45F36B68"/>
    <w:rsid w:val="45F75F2C"/>
    <w:rsid w:val="4607616F"/>
    <w:rsid w:val="46113492"/>
    <w:rsid w:val="461C6516"/>
    <w:rsid w:val="462323F3"/>
    <w:rsid w:val="46344CDD"/>
    <w:rsid w:val="463713A7"/>
    <w:rsid w:val="46396545"/>
    <w:rsid w:val="464122CE"/>
    <w:rsid w:val="464253F9"/>
    <w:rsid w:val="464473C4"/>
    <w:rsid w:val="46466945"/>
    <w:rsid w:val="464D7C39"/>
    <w:rsid w:val="464E1FF0"/>
    <w:rsid w:val="465965BA"/>
    <w:rsid w:val="465B0FE9"/>
    <w:rsid w:val="465B295F"/>
    <w:rsid w:val="46625A7E"/>
    <w:rsid w:val="46717A8D"/>
    <w:rsid w:val="467D74E9"/>
    <w:rsid w:val="46843C64"/>
    <w:rsid w:val="46845A12"/>
    <w:rsid w:val="46861DC9"/>
    <w:rsid w:val="46955E71"/>
    <w:rsid w:val="469618BE"/>
    <w:rsid w:val="46AA2F9F"/>
    <w:rsid w:val="46B07A9A"/>
    <w:rsid w:val="46B42276"/>
    <w:rsid w:val="46B5206F"/>
    <w:rsid w:val="46C54CC8"/>
    <w:rsid w:val="46C95B1B"/>
    <w:rsid w:val="46CC1F51"/>
    <w:rsid w:val="46CE32A7"/>
    <w:rsid w:val="46DC12A6"/>
    <w:rsid w:val="46E97F6B"/>
    <w:rsid w:val="46FA5C34"/>
    <w:rsid w:val="471A1ED2"/>
    <w:rsid w:val="471D319C"/>
    <w:rsid w:val="47213A23"/>
    <w:rsid w:val="47266AC9"/>
    <w:rsid w:val="472C2C20"/>
    <w:rsid w:val="47342807"/>
    <w:rsid w:val="47453A36"/>
    <w:rsid w:val="474653BD"/>
    <w:rsid w:val="474B29D4"/>
    <w:rsid w:val="4755115C"/>
    <w:rsid w:val="475F756A"/>
    <w:rsid w:val="47685334"/>
    <w:rsid w:val="476945C6"/>
    <w:rsid w:val="476A10AC"/>
    <w:rsid w:val="477A4760"/>
    <w:rsid w:val="478263CF"/>
    <w:rsid w:val="47860717"/>
    <w:rsid w:val="47A73B06"/>
    <w:rsid w:val="47B076B0"/>
    <w:rsid w:val="47B440D5"/>
    <w:rsid w:val="47B749B2"/>
    <w:rsid w:val="47BD6A2C"/>
    <w:rsid w:val="47C64562"/>
    <w:rsid w:val="47C7730F"/>
    <w:rsid w:val="47CD33E9"/>
    <w:rsid w:val="47D2285B"/>
    <w:rsid w:val="47D2609A"/>
    <w:rsid w:val="47E45DC7"/>
    <w:rsid w:val="47EA73E2"/>
    <w:rsid w:val="47EA7812"/>
    <w:rsid w:val="47FE17F4"/>
    <w:rsid w:val="47FE7A46"/>
    <w:rsid w:val="48016CF1"/>
    <w:rsid w:val="48052B82"/>
    <w:rsid w:val="480C0F07"/>
    <w:rsid w:val="480E680B"/>
    <w:rsid w:val="48141018"/>
    <w:rsid w:val="481608EC"/>
    <w:rsid w:val="48164D90"/>
    <w:rsid w:val="482E032B"/>
    <w:rsid w:val="482F34C6"/>
    <w:rsid w:val="483B0352"/>
    <w:rsid w:val="484A67E7"/>
    <w:rsid w:val="484C07B1"/>
    <w:rsid w:val="484F3DFE"/>
    <w:rsid w:val="48580FD7"/>
    <w:rsid w:val="48636E96"/>
    <w:rsid w:val="486C326F"/>
    <w:rsid w:val="486F11A2"/>
    <w:rsid w:val="4870556A"/>
    <w:rsid w:val="48735D3E"/>
    <w:rsid w:val="487675DC"/>
    <w:rsid w:val="487970CD"/>
    <w:rsid w:val="487A7728"/>
    <w:rsid w:val="48822425"/>
    <w:rsid w:val="488C6E00"/>
    <w:rsid w:val="48A00AFD"/>
    <w:rsid w:val="48B30830"/>
    <w:rsid w:val="48B545A9"/>
    <w:rsid w:val="48B56357"/>
    <w:rsid w:val="48BA1BBF"/>
    <w:rsid w:val="48BC66EE"/>
    <w:rsid w:val="48C7608A"/>
    <w:rsid w:val="48C84646"/>
    <w:rsid w:val="48C93BB0"/>
    <w:rsid w:val="48CB3DCC"/>
    <w:rsid w:val="48D64BC3"/>
    <w:rsid w:val="48D93187"/>
    <w:rsid w:val="48DF3891"/>
    <w:rsid w:val="48E419EA"/>
    <w:rsid w:val="48E924A4"/>
    <w:rsid w:val="48E94252"/>
    <w:rsid w:val="48F6071D"/>
    <w:rsid w:val="4904250E"/>
    <w:rsid w:val="49064E04"/>
    <w:rsid w:val="49080B7C"/>
    <w:rsid w:val="490A3296"/>
    <w:rsid w:val="49153299"/>
    <w:rsid w:val="49187D6E"/>
    <w:rsid w:val="491A265E"/>
    <w:rsid w:val="491D214E"/>
    <w:rsid w:val="492C66CD"/>
    <w:rsid w:val="49332B41"/>
    <w:rsid w:val="493C6A78"/>
    <w:rsid w:val="49557B3A"/>
    <w:rsid w:val="495A5150"/>
    <w:rsid w:val="495B57BC"/>
    <w:rsid w:val="495E0E1A"/>
    <w:rsid w:val="4961028C"/>
    <w:rsid w:val="4968786D"/>
    <w:rsid w:val="49690EEF"/>
    <w:rsid w:val="49696660"/>
    <w:rsid w:val="49725FF6"/>
    <w:rsid w:val="49827F96"/>
    <w:rsid w:val="49877ECC"/>
    <w:rsid w:val="498D1081"/>
    <w:rsid w:val="49942410"/>
    <w:rsid w:val="499B199C"/>
    <w:rsid w:val="499D251F"/>
    <w:rsid w:val="49A07007"/>
    <w:rsid w:val="49A14B2D"/>
    <w:rsid w:val="49A35E02"/>
    <w:rsid w:val="49A73042"/>
    <w:rsid w:val="49B7342A"/>
    <w:rsid w:val="49B91E77"/>
    <w:rsid w:val="49BA174B"/>
    <w:rsid w:val="49C21F60"/>
    <w:rsid w:val="49C225C5"/>
    <w:rsid w:val="49CC4ADF"/>
    <w:rsid w:val="49D217A3"/>
    <w:rsid w:val="49DA1108"/>
    <w:rsid w:val="49DE30FD"/>
    <w:rsid w:val="49DE368B"/>
    <w:rsid w:val="49DF1E72"/>
    <w:rsid w:val="49E05655"/>
    <w:rsid w:val="49E36EF3"/>
    <w:rsid w:val="49F11610"/>
    <w:rsid w:val="49F26D29"/>
    <w:rsid w:val="49F34A01"/>
    <w:rsid w:val="49FE387C"/>
    <w:rsid w:val="4A042BE1"/>
    <w:rsid w:val="4A0A26D2"/>
    <w:rsid w:val="4A0B01F8"/>
    <w:rsid w:val="4A2117CA"/>
    <w:rsid w:val="4A225C6E"/>
    <w:rsid w:val="4A286FFC"/>
    <w:rsid w:val="4A2927BC"/>
    <w:rsid w:val="4A2C2648"/>
    <w:rsid w:val="4A325785"/>
    <w:rsid w:val="4A331C29"/>
    <w:rsid w:val="4A332BFD"/>
    <w:rsid w:val="4A3855BE"/>
    <w:rsid w:val="4A3C51B1"/>
    <w:rsid w:val="4A434223"/>
    <w:rsid w:val="4A49144C"/>
    <w:rsid w:val="4A4F4589"/>
    <w:rsid w:val="4A54394D"/>
    <w:rsid w:val="4A561E76"/>
    <w:rsid w:val="4A6242BC"/>
    <w:rsid w:val="4A640C70"/>
    <w:rsid w:val="4A6749EC"/>
    <w:rsid w:val="4A743FEF"/>
    <w:rsid w:val="4A820501"/>
    <w:rsid w:val="4A9B34B5"/>
    <w:rsid w:val="4A9C34F6"/>
    <w:rsid w:val="4A9D3546"/>
    <w:rsid w:val="4A9D52F4"/>
    <w:rsid w:val="4AA06B93"/>
    <w:rsid w:val="4AA30431"/>
    <w:rsid w:val="4AA85A47"/>
    <w:rsid w:val="4AAA3593"/>
    <w:rsid w:val="4AB80380"/>
    <w:rsid w:val="4ABF34BD"/>
    <w:rsid w:val="4ACA1E61"/>
    <w:rsid w:val="4AD0163B"/>
    <w:rsid w:val="4ADA6548"/>
    <w:rsid w:val="4ADA7EAE"/>
    <w:rsid w:val="4ADE5194"/>
    <w:rsid w:val="4AE178D7"/>
    <w:rsid w:val="4AE4420D"/>
    <w:rsid w:val="4AF018C8"/>
    <w:rsid w:val="4AF501F4"/>
    <w:rsid w:val="4AFC44F1"/>
    <w:rsid w:val="4B007D3A"/>
    <w:rsid w:val="4B0233A9"/>
    <w:rsid w:val="4B1652DD"/>
    <w:rsid w:val="4B19711F"/>
    <w:rsid w:val="4B29302C"/>
    <w:rsid w:val="4B2B6DA4"/>
    <w:rsid w:val="4B2B74D3"/>
    <w:rsid w:val="4B2E23F0"/>
    <w:rsid w:val="4B307F16"/>
    <w:rsid w:val="4B317AD6"/>
    <w:rsid w:val="4B3A6FE7"/>
    <w:rsid w:val="4B427C4A"/>
    <w:rsid w:val="4B49722A"/>
    <w:rsid w:val="4B4A1C1E"/>
    <w:rsid w:val="4B4B4017"/>
    <w:rsid w:val="4B4D3258"/>
    <w:rsid w:val="4B4E4840"/>
    <w:rsid w:val="4B5160DF"/>
    <w:rsid w:val="4B524331"/>
    <w:rsid w:val="4B527E04"/>
    <w:rsid w:val="4B576B7C"/>
    <w:rsid w:val="4B5E0F27"/>
    <w:rsid w:val="4B6202EC"/>
    <w:rsid w:val="4B683B54"/>
    <w:rsid w:val="4B7018C7"/>
    <w:rsid w:val="4B761187"/>
    <w:rsid w:val="4B773D97"/>
    <w:rsid w:val="4B8464B4"/>
    <w:rsid w:val="4B857215"/>
    <w:rsid w:val="4B920BD1"/>
    <w:rsid w:val="4B9519AF"/>
    <w:rsid w:val="4BAF5028"/>
    <w:rsid w:val="4BB548C0"/>
    <w:rsid w:val="4BBE19C6"/>
    <w:rsid w:val="4BC13264"/>
    <w:rsid w:val="4BC36FDC"/>
    <w:rsid w:val="4BC6087B"/>
    <w:rsid w:val="4BCD427D"/>
    <w:rsid w:val="4BD034A7"/>
    <w:rsid w:val="4BD25472"/>
    <w:rsid w:val="4BD9235C"/>
    <w:rsid w:val="4BDC67D7"/>
    <w:rsid w:val="4BE8784A"/>
    <w:rsid w:val="4BEF2791"/>
    <w:rsid w:val="4BF05C2B"/>
    <w:rsid w:val="4BF07591"/>
    <w:rsid w:val="4BF651B8"/>
    <w:rsid w:val="4BF74ED8"/>
    <w:rsid w:val="4BF94D80"/>
    <w:rsid w:val="4BFE6267"/>
    <w:rsid w:val="4C0D2006"/>
    <w:rsid w:val="4C1930A0"/>
    <w:rsid w:val="4C325F10"/>
    <w:rsid w:val="4C3677AE"/>
    <w:rsid w:val="4C4127EE"/>
    <w:rsid w:val="4C4277CB"/>
    <w:rsid w:val="4C4579F1"/>
    <w:rsid w:val="4C52618F"/>
    <w:rsid w:val="4C547C35"/>
    <w:rsid w:val="4C567E51"/>
    <w:rsid w:val="4C5C5158"/>
    <w:rsid w:val="4C623ED8"/>
    <w:rsid w:val="4C7E1155"/>
    <w:rsid w:val="4C832A20"/>
    <w:rsid w:val="4C8772AC"/>
    <w:rsid w:val="4C891FD4"/>
    <w:rsid w:val="4C8F18CC"/>
    <w:rsid w:val="4C9308C5"/>
    <w:rsid w:val="4CA7245A"/>
    <w:rsid w:val="4CA74208"/>
    <w:rsid w:val="4CB93F3C"/>
    <w:rsid w:val="4CBA03DF"/>
    <w:rsid w:val="4CBB47EE"/>
    <w:rsid w:val="4CBD5176"/>
    <w:rsid w:val="4CD026DF"/>
    <w:rsid w:val="4CDA1B51"/>
    <w:rsid w:val="4CE10ECD"/>
    <w:rsid w:val="4CE258AB"/>
    <w:rsid w:val="4CFA203D"/>
    <w:rsid w:val="4D057181"/>
    <w:rsid w:val="4D115B26"/>
    <w:rsid w:val="4D19190F"/>
    <w:rsid w:val="4D1F2FAF"/>
    <w:rsid w:val="4D22461E"/>
    <w:rsid w:val="4D277082"/>
    <w:rsid w:val="4D331F40"/>
    <w:rsid w:val="4D333CEE"/>
    <w:rsid w:val="4D371A30"/>
    <w:rsid w:val="4D534561"/>
    <w:rsid w:val="4D553DB6"/>
    <w:rsid w:val="4D556548"/>
    <w:rsid w:val="4D5C3245"/>
    <w:rsid w:val="4D5D0D6B"/>
    <w:rsid w:val="4D625661"/>
    <w:rsid w:val="4D693BB4"/>
    <w:rsid w:val="4D745BBB"/>
    <w:rsid w:val="4D7615F2"/>
    <w:rsid w:val="4D7729E2"/>
    <w:rsid w:val="4D7A7B6F"/>
    <w:rsid w:val="4D7F33D7"/>
    <w:rsid w:val="4D844549"/>
    <w:rsid w:val="4D845037"/>
    <w:rsid w:val="4D8B3B2A"/>
    <w:rsid w:val="4D9A0DF5"/>
    <w:rsid w:val="4D9C604E"/>
    <w:rsid w:val="4DAC1914"/>
    <w:rsid w:val="4DC12ED4"/>
    <w:rsid w:val="4DC1579E"/>
    <w:rsid w:val="4DC42B98"/>
    <w:rsid w:val="4DC4528E"/>
    <w:rsid w:val="4DC61916"/>
    <w:rsid w:val="4DC808DA"/>
    <w:rsid w:val="4DC94652"/>
    <w:rsid w:val="4DCC117E"/>
    <w:rsid w:val="4DD37564"/>
    <w:rsid w:val="4DDA0A50"/>
    <w:rsid w:val="4DE65E64"/>
    <w:rsid w:val="4DED20EF"/>
    <w:rsid w:val="4DF0451E"/>
    <w:rsid w:val="4DF55447"/>
    <w:rsid w:val="4DF61518"/>
    <w:rsid w:val="4DF70635"/>
    <w:rsid w:val="4DF87831"/>
    <w:rsid w:val="4E0538DC"/>
    <w:rsid w:val="4E143B1F"/>
    <w:rsid w:val="4E182F32"/>
    <w:rsid w:val="4E284869"/>
    <w:rsid w:val="4E2D59E0"/>
    <w:rsid w:val="4E32125A"/>
    <w:rsid w:val="4E3D7D91"/>
    <w:rsid w:val="4E4B5067"/>
    <w:rsid w:val="4E505061"/>
    <w:rsid w:val="4E507D60"/>
    <w:rsid w:val="4E564138"/>
    <w:rsid w:val="4E575F7D"/>
    <w:rsid w:val="4E5B45C0"/>
    <w:rsid w:val="4E5B79A0"/>
    <w:rsid w:val="4E6525CD"/>
    <w:rsid w:val="4E6B74B7"/>
    <w:rsid w:val="4E75696E"/>
    <w:rsid w:val="4E8A5B90"/>
    <w:rsid w:val="4E8E7C7A"/>
    <w:rsid w:val="4EA34EA3"/>
    <w:rsid w:val="4EA8070C"/>
    <w:rsid w:val="4EAC3D58"/>
    <w:rsid w:val="4EB726FD"/>
    <w:rsid w:val="4EB8094F"/>
    <w:rsid w:val="4EBE26FC"/>
    <w:rsid w:val="4EBF6E83"/>
    <w:rsid w:val="4EC2357B"/>
    <w:rsid w:val="4EC512BE"/>
    <w:rsid w:val="4EC81323"/>
    <w:rsid w:val="4EDB288F"/>
    <w:rsid w:val="4EE03A01"/>
    <w:rsid w:val="4EEA2AD2"/>
    <w:rsid w:val="4EEC23A6"/>
    <w:rsid w:val="4F005E52"/>
    <w:rsid w:val="4F027E1C"/>
    <w:rsid w:val="4F1418FD"/>
    <w:rsid w:val="4F3509EB"/>
    <w:rsid w:val="4F351F9F"/>
    <w:rsid w:val="4F391364"/>
    <w:rsid w:val="4F3B332E"/>
    <w:rsid w:val="4F4977F9"/>
    <w:rsid w:val="4F497A69"/>
    <w:rsid w:val="4F4C553B"/>
    <w:rsid w:val="4F4C68DB"/>
    <w:rsid w:val="4F5752BC"/>
    <w:rsid w:val="4F580B6C"/>
    <w:rsid w:val="4F622668"/>
    <w:rsid w:val="4F641760"/>
    <w:rsid w:val="4F6E3703"/>
    <w:rsid w:val="4F6E54B1"/>
    <w:rsid w:val="4F7F146C"/>
    <w:rsid w:val="4F7F321A"/>
    <w:rsid w:val="4F7F44DF"/>
    <w:rsid w:val="4F8151E4"/>
    <w:rsid w:val="4F822D0B"/>
    <w:rsid w:val="4F824AB9"/>
    <w:rsid w:val="4F8545A9"/>
    <w:rsid w:val="4F8E7901"/>
    <w:rsid w:val="4F950C90"/>
    <w:rsid w:val="4F955040"/>
    <w:rsid w:val="4F980780"/>
    <w:rsid w:val="4F9B099B"/>
    <w:rsid w:val="4F9D18F3"/>
    <w:rsid w:val="4FA90297"/>
    <w:rsid w:val="4FB518DD"/>
    <w:rsid w:val="4FBB2E06"/>
    <w:rsid w:val="4FC6709B"/>
    <w:rsid w:val="4FD01CC8"/>
    <w:rsid w:val="4FD25A40"/>
    <w:rsid w:val="4FD80B7D"/>
    <w:rsid w:val="4FDB0BF1"/>
    <w:rsid w:val="4FEC2745"/>
    <w:rsid w:val="4FEE03A0"/>
    <w:rsid w:val="4FFE1A90"/>
    <w:rsid w:val="50083210"/>
    <w:rsid w:val="501222E0"/>
    <w:rsid w:val="50151DD1"/>
    <w:rsid w:val="501778F7"/>
    <w:rsid w:val="5023629C"/>
    <w:rsid w:val="50272ACA"/>
    <w:rsid w:val="50395ABF"/>
    <w:rsid w:val="503D605D"/>
    <w:rsid w:val="50470DA0"/>
    <w:rsid w:val="505446A7"/>
    <w:rsid w:val="50600E53"/>
    <w:rsid w:val="506F14E1"/>
    <w:rsid w:val="508807F5"/>
    <w:rsid w:val="508825A3"/>
    <w:rsid w:val="50947199"/>
    <w:rsid w:val="5099030C"/>
    <w:rsid w:val="50A218B6"/>
    <w:rsid w:val="50AC7C6A"/>
    <w:rsid w:val="50AD1809"/>
    <w:rsid w:val="50B408C4"/>
    <w:rsid w:val="50B82A3D"/>
    <w:rsid w:val="50BB4726"/>
    <w:rsid w:val="50BD049E"/>
    <w:rsid w:val="50BE4F49"/>
    <w:rsid w:val="50C23CB5"/>
    <w:rsid w:val="50C64E79"/>
    <w:rsid w:val="50C75CD0"/>
    <w:rsid w:val="50D17AA6"/>
    <w:rsid w:val="50D43A3A"/>
    <w:rsid w:val="50D71D92"/>
    <w:rsid w:val="50DA2582"/>
    <w:rsid w:val="50DB387E"/>
    <w:rsid w:val="50DB5BB6"/>
    <w:rsid w:val="50DF4245"/>
    <w:rsid w:val="50E772C9"/>
    <w:rsid w:val="50ED1318"/>
    <w:rsid w:val="50F10148"/>
    <w:rsid w:val="50F9524E"/>
    <w:rsid w:val="51021035"/>
    <w:rsid w:val="510734C7"/>
    <w:rsid w:val="510F6820"/>
    <w:rsid w:val="51100A1F"/>
    <w:rsid w:val="51126AE7"/>
    <w:rsid w:val="51254295"/>
    <w:rsid w:val="512B6237"/>
    <w:rsid w:val="51340035"/>
    <w:rsid w:val="51341ECE"/>
    <w:rsid w:val="51357465"/>
    <w:rsid w:val="51360251"/>
    <w:rsid w:val="51453FF0"/>
    <w:rsid w:val="51481364"/>
    <w:rsid w:val="51494FA1"/>
    <w:rsid w:val="514C1822"/>
    <w:rsid w:val="51516E38"/>
    <w:rsid w:val="515A3F3F"/>
    <w:rsid w:val="517B4C5C"/>
    <w:rsid w:val="5184720E"/>
    <w:rsid w:val="518B5EA5"/>
    <w:rsid w:val="51937833"/>
    <w:rsid w:val="519758C5"/>
    <w:rsid w:val="51984A77"/>
    <w:rsid w:val="519913FC"/>
    <w:rsid w:val="51A96C75"/>
    <w:rsid w:val="51AB479B"/>
    <w:rsid w:val="51AE428B"/>
    <w:rsid w:val="51B248AB"/>
    <w:rsid w:val="51B353FD"/>
    <w:rsid w:val="51BA678C"/>
    <w:rsid w:val="51BD5F37"/>
    <w:rsid w:val="51C23FCD"/>
    <w:rsid w:val="51CF4C0C"/>
    <w:rsid w:val="51D33CF1"/>
    <w:rsid w:val="51D81308"/>
    <w:rsid w:val="51D84E64"/>
    <w:rsid w:val="51DB0FC0"/>
    <w:rsid w:val="51E1640E"/>
    <w:rsid w:val="51E249BC"/>
    <w:rsid w:val="51E41A5B"/>
    <w:rsid w:val="51ED6B61"/>
    <w:rsid w:val="51EE0B2B"/>
    <w:rsid w:val="51FA127E"/>
    <w:rsid w:val="51FA17C3"/>
    <w:rsid w:val="51FE1F93"/>
    <w:rsid w:val="520530C3"/>
    <w:rsid w:val="520914C1"/>
    <w:rsid w:val="52112442"/>
    <w:rsid w:val="521F0CE5"/>
    <w:rsid w:val="52224331"/>
    <w:rsid w:val="52236DEB"/>
    <w:rsid w:val="52247C1D"/>
    <w:rsid w:val="522602C5"/>
    <w:rsid w:val="522D142D"/>
    <w:rsid w:val="522E717A"/>
    <w:rsid w:val="523522B6"/>
    <w:rsid w:val="523A1B3D"/>
    <w:rsid w:val="523E6B27"/>
    <w:rsid w:val="525A3647"/>
    <w:rsid w:val="52650ECC"/>
    <w:rsid w:val="526F57C8"/>
    <w:rsid w:val="5272350A"/>
    <w:rsid w:val="52742DDF"/>
    <w:rsid w:val="527C6137"/>
    <w:rsid w:val="52803148"/>
    <w:rsid w:val="528943B0"/>
    <w:rsid w:val="528C2985"/>
    <w:rsid w:val="5294522F"/>
    <w:rsid w:val="529E5241"/>
    <w:rsid w:val="52A53DDD"/>
    <w:rsid w:val="52A94183"/>
    <w:rsid w:val="52AB1EA7"/>
    <w:rsid w:val="52AD009F"/>
    <w:rsid w:val="52AD6E9B"/>
    <w:rsid w:val="52B70F1D"/>
    <w:rsid w:val="52B7716F"/>
    <w:rsid w:val="52BC6534"/>
    <w:rsid w:val="52BE768D"/>
    <w:rsid w:val="52CB182B"/>
    <w:rsid w:val="52D95337"/>
    <w:rsid w:val="52DD1244"/>
    <w:rsid w:val="52E2243E"/>
    <w:rsid w:val="52E54EC3"/>
    <w:rsid w:val="52E673D3"/>
    <w:rsid w:val="52E70CD7"/>
    <w:rsid w:val="52ED0DE3"/>
    <w:rsid w:val="52F4317F"/>
    <w:rsid w:val="52F7756C"/>
    <w:rsid w:val="53085941"/>
    <w:rsid w:val="530A3743"/>
    <w:rsid w:val="530C3E01"/>
    <w:rsid w:val="531204FD"/>
    <w:rsid w:val="5314011E"/>
    <w:rsid w:val="53140D91"/>
    <w:rsid w:val="53195734"/>
    <w:rsid w:val="531A06A6"/>
    <w:rsid w:val="531A68A1"/>
    <w:rsid w:val="531E71EE"/>
    <w:rsid w:val="53285977"/>
    <w:rsid w:val="53302C38"/>
    <w:rsid w:val="5330615E"/>
    <w:rsid w:val="5333756F"/>
    <w:rsid w:val="533B708F"/>
    <w:rsid w:val="533E3905"/>
    <w:rsid w:val="534112A6"/>
    <w:rsid w:val="534E5504"/>
    <w:rsid w:val="534E7AD3"/>
    <w:rsid w:val="536027B7"/>
    <w:rsid w:val="53625651"/>
    <w:rsid w:val="53660214"/>
    <w:rsid w:val="536926B5"/>
    <w:rsid w:val="536966BB"/>
    <w:rsid w:val="536A41E2"/>
    <w:rsid w:val="536A66F2"/>
    <w:rsid w:val="536B2853"/>
    <w:rsid w:val="536E3193"/>
    <w:rsid w:val="53740BBC"/>
    <w:rsid w:val="53760DD8"/>
    <w:rsid w:val="53781DE2"/>
    <w:rsid w:val="537A4F37"/>
    <w:rsid w:val="537D669A"/>
    <w:rsid w:val="538C05FC"/>
    <w:rsid w:val="538F1D42"/>
    <w:rsid w:val="5393159C"/>
    <w:rsid w:val="5394300C"/>
    <w:rsid w:val="539B25ED"/>
    <w:rsid w:val="539F3E8B"/>
    <w:rsid w:val="53A019B1"/>
    <w:rsid w:val="53A56FC8"/>
    <w:rsid w:val="53B37216"/>
    <w:rsid w:val="53B84F4D"/>
    <w:rsid w:val="53BC34A6"/>
    <w:rsid w:val="53C34F6E"/>
    <w:rsid w:val="53C53301"/>
    <w:rsid w:val="53C727A5"/>
    <w:rsid w:val="53D665BC"/>
    <w:rsid w:val="53D8114B"/>
    <w:rsid w:val="53DF697E"/>
    <w:rsid w:val="53E117F7"/>
    <w:rsid w:val="53E97D7F"/>
    <w:rsid w:val="53EC07F7"/>
    <w:rsid w:val="53EC4BF7"/>
    <w:rsid w:val="53EF2980"/>
    <w:rsid w:val="53F57F4F"/>
    <w:rsid w:val="540B693C"/>
    <w:rsid w:val="5411465D"/>
    <w:rsid w:val="5411647D"/>
    <w:rsid w:val="541303D5"/>
    <w:rsid w:val="541505F1"/>
    <w:rsid w:val="5415239F"/>
    <w:rsid w:val="541E3CEF"/>
    <w:rsid w:val="541F4FCC"/>
    <w:rsid w:val="54212884"/>
    <w:rsid w:val="54224ABC"/>
    <w:rsid w:val="54240834"/>
    <w:rsid w:val="54244390"/>
    <w:rsid w:val="54397338"/>
    <w:rsid w:val="54436F0C"/>
    <w:rsid w:val="54497D6E"/>
    <w:rsid w:val="54570D24"/>
    <w:rsid w:val="546142C1"/>
    <w:rsid w:val="54617393"/>
    <w:rsid w:val="54640C31"/>
    <w:rsid w:val="54662F73"/>
    <w:rsid w:val="54694499"/>
    <w:rsid w:val="546B1FBF"/>
    <w:rsid w:val="546F6583"/>
    <w:rsid w:val="54745318"/>
    <w:rsid w:val="547A0454"/>
    <w:rsid w:val="54880DC3"/>
    <w:rsid w:val="548E5CAE"/>
    <w:rsid w:val="54971006"/>
    <w:rsid w:val="54A379AB"/>
    <w:rsid w:val="54A42E1E"/>
    <w:rsid w:val="54AC26ED"/>
    <w:rsid w:val="54AD4386"/>
    <w:rsid w:val="54AF45A2"/>
    <w:rsid w:val="54B929BD"/>
    <w:rsid w:val="54BF33CF"/>
    <w:rsid w:val="54C17E31"/>
    <w:rsid w:val="54C341E7"/>
    <w:rsid w:val="54C53BD7"/>
    <w:rsid w:val="54C664CE"/>
    <w:rsid w:val="54CF07A0"/>
    <w:rsid w:val="54D44008"/>
    <w:rsid w:val="54D524F8"/>
    <w:rsid w:val="54D933CD"/>
    <w:rsid w:val="54E11C4F"/>
    <w:rsid w:val="54EA4E2E"/>
    <w:rsid w:val="54EA55DA"/>
    <w:rsid w:val="54F40207"/>
    <w:rsid w:val="54FB0DC4"/>
    <w:rsid w:val="54FE4BE1"/>
    <w:rsid w:val="550D392A"/>
    <w:rsid w:val="55124B31"/>
    <w:rsid w:val="551672AC"/>
    <w:rsid w:val="551D6D4C"/>
    <w:rsid w:val="551E15B9"/>
    <w:rsid w:val="5527238A"/>
    <w:rsid w:val="55286102"/>
    <w:rsid w:val="55287EB0"/>
    <w:rsid w:val="552E0A57"/>
    <w:rsid w:val="552F7491"/>
    <w:rsid w:val="5531145B"/>
    <w:rsid w:val="55366A71"/>
    <w:rsid w:val="5540169E"/>
    <w:rsid w:val="55452D8D"/>
    <w:rsid w:val="55466588"/>
    <w:rsid w:val="554D393A"/>
    <w:rsid w:val="55525440"/>
    <w:rsid w:val="55545149"/>
    <w:rsid w:val="55720B91"/>
    <w:rsid w:val="557355CF"/>
    <w:rsid w:val="5579070C"/>
    <w:rsid w:val="55823A64"/>
    <w:rsid w:val="55825812"/>
    <w:rsid w:val="55853555"/>
    <w:rsid w:val="55884791"/>
    <w:rsid w:val="558F6181"/>
    <w:rsid w:val="55913C7C"/>
    <w:rsid w:val="55920143"/>
    <w:rsid w:val="55937A20"/>
    <w:rsid w:val="55986DE4"/>
    <w:rsid w:val="55987982"/>
    <w:rsid w:val="559B0682"/>
    <w:rsid w:val="55A10D52"/>
    <w:rsid w:val="55A559A5"/>
    <w:rsid w:val="55AB2C15"/>
    <w:rsid w:val="55B20855"/>
    <w:rsid w:val="55B72043"/>
    <w:rsid w:val="55B81234"/>
    <w:rsid w:val="55BA5A30"/>
    <w:rsid w:val="55CE6CAA"/>
    <w:rsid w:val="55CF391E"/>
    <w:rsid w:val="55CF47D0"/>
    <w:rsid w:val="55DF4A13"/>
    <w:rsid w:val="55E22755"/>
    <w:rsid w:val="55E71697"/>
    <w:rsid w:val="55EE4C56"/>
    <w:rsid w:val="55F43710"/>
    <w:rsid w:val="55FA184D"/>
    <w:rsid w:val="55FE3948"/>
    <w:rsid w:val="5606715A"/>
    <w:rsid w:val="56101070"/>
    <w:rsid w:val="561346BC"/>
    <w:rsid w:val="561843C9"/>
    <w:rsid w:val="561D2F15"/>
    <w:rsid w:val="5621502B"/>
    <w:rsid w:val="56262642"/>
    <w:rsid w:val="56273290"/>
    <w:rsid w:val="56285815"/>
    <w:rsid w:val="562C577E"/>
    <w:rsid w:val="563035E7"/>
    <w:rsid w:val="5635545A"/>
    <w:rsid w:val="563F54B2"/>
    <w:rsid w:val="564112D8"/>
    <w:rsid w:val="564451BE"/>
    <w:rsid w:val="56462CE4"/>
    <w:rsid w:val="56474D13"/>
    <w:rsid w:val="56496330"/>
    <w:rsid w:val="565847C5"/>
    <w:rsid w:val="56633896"/>
    <w:rsid w:val="56637004"/>
    <w:rsid w:val="56680EAC"/>
    <w:rsid w:val="566C201F"/>
    <w:rsid w:val="567C04B4"/>
    <w:rsid w:val="567C6706"/>
    <w:rsid w:val="567D6779"/>
    <w:rsid w:val="567F1D52"/>
    <w:rsid w:val="56837A94"/>
    <w:rsid w:val="569101BE"/>
    <w:rsid w:val="5692159C"/>
    <w:rsid w:val="56921A85"/>
    <w:rsid w:val="56952EBD"/>
    <w:rsid w:val="5697353F"/>
    <w:rsid w:val="569A3030"/>
    <w:rsid w:val="569F0646"/>
    <w:rsid w:val="56A814DF"/>
    <w:rsid w:val="56A8574D"/>
    <w:rsid w:val="56BB7BE7"/>
    <w:rsid w:val="56BC2FA6"/>
    <w:rsid w:val="56C43C09"/>
    <w:rsid w:val="56C854A7"/>
    <w:rsid w:val="56C87AAD"/>
    <w:rsid w:val="56C97471"/>
    <w:rsid w:val="56CF70B1"/>
    <w:rsid w:val="56D4639E"/>
    <w:rsid w:val="56D7393C"/>
    <w:rsid w:val="56DE4CCA"/>
    <w:rsid w:val="56E16569"/>
    <w:rsid w:val="56E85B49"/>
    <w:rsid w:val="56F1653F"/>
    <w:rsid w:val="56FD5E9D"/>
    <w:rsid w:val="570566FB"/>
    <w:rsid w:val="570D55B0"/>
    <w:rsid w:val="57120E18"/>
    <w:rsid w:val="57160908"/>
    <w:rsid w:val="572B3C88"/>
    <w:rsid w:val="57342B3C"/>
    <w:rsid w:val="57362D58"/>
    <w:rsid w:val="5737262D"/>
    <w:rsid w:val="57392849"/>
    <w:rsid w:val="573C40E7"/>
    <w:rsid w:val="573C5E95"/>
    <w:rsid w:val="57434A85"/>
    <w:rsid w:val="574462C3"/>
    <w:rsid w:val="575651A9"/>
    <w:rsid w:val="575925A3"/>
    <w:rsid w:val="575B774B"/>
    <w:rsid w:val="575E405D"/>
    <w:rsid w:val="576158FB"/>
    <w:rsid w:val="57631674"/>
    <w:rsid w:val="57715B3F"/>
    <w:rsid w:val="577D0987"/>
    <w:rsid w:val="57853398"/>
    <w:rsid w:val="5785631B"/>
    <w:rsid w:val="578D66F1"/>
    <w:rsid w:val="578F06BB"/>
    <w:rsid w:val="578F58C0"/>
    <w:rsid w:val="57A60920"/>
    <w:rsid w:val="57AA2DFF"/>
    <w:rsid w:val="57B202E4"/>
    <w:rsid w:val="57C27F27"/>
    <w:rsid w:val="57C93BCD"/>
    <w:rsid w:val="57D1744E"/>
    <w:rsid w:val="57E00F16"/>
    <w:rsid w:val="57E722A5"/>
    <w:rsid w:val="57F8000E"/>
    <w:rsid w:val="57FC24D9"/>
    <w:rsid w:val="57FF6BD3"/>
    <w:rsid w:val="580547FF"/>
    <w:rsid w:val="581035A9"/>
    <w:rsid w:val="5813308A"/>
    <w:rsid w:val="58242DA6"/>
    <w:rsid w:val="58277C82"/>
    <w:rsid w:val="583A0626"/>
    <w:rsid w:val="583A23D4"/>
    <w:rsid w:val="584119B5"/>
    <w:rsid w:val="58417C07"/>
    <w:rsid w:val="5847696C"/>
    <w:rsid w:val="584D65AC"/>
    <w:rsid w:val="587249C4"/>
    <w:rsid w:val="588B0E82"/>
    <w:rsid w:val="58950358"/>
    <w:rsid w:val="589905B5"/>
    <w:rsid w:val="58A3545F"/>
    <w:rsid w:val="58AE2DC2"/>
    <w:rsid w:val="58B55EFF"/>
    <w:rsid w:val="58B77EC9"/>
    <w:rsid w:val="58B81C55"/>
    <w:rsid w:val="58BA77DB"/>
    <w:rsid w:val="58C0440A"/>
    <w:rsid w:val="58C268B6"/>
    <w:rsid w:val="58C34194"/>
    <w:rsid w:val="58C47EF0"/>
    <w:rsid w:val="58D00F8B"/>
    <w:rsid w:val="58D26AB1"/>
    <w:rsid w:val="58D77C23"/>
    <w:rsid w:val="58EE4DF0"/>
    <w:rsid w:val="58FB63AD"/>
    <w:rsid w:val="59036C6A"/>
    <w:rsid w:val="59070457"/>
    <w:rsid w:val="59232E69"/>
    <w:rsid w:val="59284923"/>
    <w:rsid w:val="593155D6"/>
    <w:rsid w:val="5931746A"/>
    <w:rsid w:val="59344116"/>
    <w:rsid w:val="593B6F6F"/>
    <w:rsid w:val="593C191F"/>
    <w:rsid w:val="59411541"/>
    <w:rsid w:val="594554D5"/>
    <w:rsid w:val="594C5472"/>
    <w:rsid w:val="594F0101"/>
    <w:rsid w:val="59520911"/>
    <w:rsid w:val="59570D64"/>
    <w:rsid w:val="59577DF1"/>
    <w:rsid w:val="59590F80"/>
    <w:rsid w:val="595A6175"/>
    <w:rsid w:val="595B0854"/>
    <w:rsid w:val="596877B8"/>
    <w:rsid w:val="596D2D7B"/>
    <w:rsid w:val="59736FAA"/>
    <w:rsid w:val="597436C4"/>
    <w:rsid w:val="59757AC9"/>
    <w:rsid w:val="597638E0"/>
    <w:rsid w:val="597B2CA5"/>
    <w:rsid w:val="5988716F"/>
    <w:rsid w:val="598B0B19"/>
    <w:rsid w:val="599328C7"/>
    <w:rsid w:val="59966E64"/>
    <w:rsid w:val="59967ADE"/>
    <w:rsid w:val="599B6EA3"/>
    <w:rsid w:val="599F42DD"/>
    <w:rsid w:val="59B25D8C"/>
    <w:rsid w:val="59BB250E"/>
    <w:rsid w:val="59C3464B"/>
    <w:rsid w:val="59CF1242"/>
    <w:rsid w:val="59D16D68"/>
    <w:rsid w:val="59E56370"/>
    <w:rsid w:val="59F14D15"/>
    <w:rsid w:val="59F36CDF"/>
    <w:rsid w:val="59FE5684"/>
    <w:rsid w:val="5A096502"/>
    <w:rsid w:val="5A0A107B"/>
    <w:rsid w:val="5A0A227A"/>
    <w:rsid w:val="5A0C2F90"/>
    <w:rsid w:val="5A0C7CAD"/>
    <w:rsid w:val="5A0E3B19"/>
    <w:rsid w:val="5A0E58C7"/>
    <w:rsid w:val="5A17137D"/>
    <w:rsid w:val="5A380B96"/>
    <w:rsid w:val="5A396288"/>
    <w:rsid w:val="5A3966BC"/>
    <w:rsid w:val="5A3B41BB"/>
    <w:rsid w:val="5A3C6DF0"/>
    <w:rsid w:val="5A3D04EE"/>
    <w:rsid w:val="5A461504"/>
    <w:rsid w:val="5A485FFE"/>
    <w:rsid w:val="5A491C03"/>
    <w:rsid w:val="5A566D5D"/>
    <w:rsid w:val="5A5A0B0C"/>
    <w:rsid w:val="5A5B77C8"/>
    <w:rsid w:val="5A643AA2"/>
    <w:rsid w:val="5A681EED"/>
    <w:rsid w:val="5A690A56"/>
    <w:rsid w:val="5A6E45B7"/>
    <w:rsid w:val="5A7A7400"/>
    <w:rsid w:val="5A84202D"/>
    <w:rsid w:val="5A843DDB"/>
    <w:rsid w:val="5A861ABD"/>
    <w:rsid w:val="5A951B44"/>
    <w:rsid w:val="5AA93841"/>
    <w:rsid w:val="5AAE0E58"/>
    <w:rsid w:val="5AB20948"/>
    <w:rsid w:val="5AB31027"/>
    <w:rsid w:val="5AB741B0"/>
    <w:rsid w:val="5ABA7716"/>
    <w:rsid w:val="5ABB079A"/>
    <w:rsid w:val="5ABD1988"/>
    <w:rsid w:val="5ABF4B26"/>
    <w:rsid w:val="5AC01D7C"/>
    <w:rsid w:val="5AC42429"/>
    <w:rsid w:val="5ACF0AB3"/>
    <w:rsid w:val="5AE40D1D"/>
    <w:rsid w:val="5AEA3C95"/>
    <w:rsid w:val="5AF05812"/>
    <w:rsid w:val="5AF16820"/>
    <w:rsid w:val="5AF6334F"/>
    <w:rsid w:val="5AFB6616"/>
    <w:rsid w:val="5B006CA2"/>
    <w:rsid w:val="5B123195"/>
    <w:rsid w:val="5B152C85"/>
    <w:rsid w:val="5B160185"/>
    <w:rsid w:val="5B161CB2"/>
    <w:rsid w:val="5B1A5B33"/>
    <w:rsid w:val="5B2555BE"/>
    <w:rsid w:val="5B323837"/>
    <w:rsid w:val="5B3255E5"/>
    <w:rsid w:val="5B5419FF"/>
    <w:rsid w:val="5B5A4FBB"/>
    <w:rsid w:val="5B652803"/>
    <w:rsid w:val="5B667984"/>
    <w:rsid w:val="5B6D271B"/>
    <w:rsid w:val="5B726329"/>
    <w:rsid w:val="5B7B3430"/>
    <w:rsid w:val="5B8F2A37"/>
    <w:rsid w:val="5B9462A0"/>
    <w:rsid w:val="5B955CFF"/>
    <w:rsid w:val="5B9A06E1"/>
    <w:rsid w:val="5BA364E3"/>
    <w:rsid w:val="5BB57FC4"/>
    <w:rsid w:val="5BB97AB4"/>
    <w:rsid w:val="5BBB0190"/>
    <w:rsid w:val="5BC812F6"/>
    <w:rsid w:val="5BC9756A"/>
    <w:rsid w:val="5BCB77E7"/>
    <w:rsid w:val="5BCD17B1"/>
    <w:rsid w:val="5BCE67A6"/>
    <w:rsid w:val="5BE74011"/>
    <w:rsid w:val="5BED6397"/>
    <w:rsid w:val="5BEF5DAA"/>
    <w:rsid w:val="5BFB4E3E"/>
    <w:rsid w:val="5BFF4CBE"/>
    <w:rsid w:val="5C0F6A2C"/>
    <w:rsid w:val="5C133668"/>
    <w:rsid w:val="5C186ED1"/>
    <w:rsid w:val="5C1949F7"/>
    <w:rsid w:val="5C337866"/>
    <w:rsid w:val="5C3749D1"/>
    <w:rsid w:val="5C447CC6"/>
    <w:rsid w:val="5C4F0418"/>
    <w:rsid w:val="5C537F09"/>
    <w:rsid w:val="5C567A90"/>
    <w:rsid w:val="5C583771"/>
    <w:rsid w:val="5C5A03AC"/>
    <w:rsid w:val="5C5B7D85"/>
    <w:rsid w:val="5C766B8D"/>
    <w:rsid w:val="5C7D7BC4"/>
    <w:rsid w:val="5C8267E6"/>
    <w:rsid w:val="5C834A8C"/>
    <w:rsid w:val="5C841E70"/>
    <w:rsid w:val="5C9D2F32"/>
    <w:rsid w:val="5CA512FE"/>
    <w:rsid w:val="5CB32755"/>
    <w:rsid w:val="5CB87D6C"/>
    <w:rsid w:val="5CC826A5"/>
    <w:rsid w:val="5CD1707F"/>
    <w:rsid w:val="5CD6103E"/>
    <w:rsid w:val="5CF42225"/>
    <w:rsid w:val="5CF54B1C"/>
    <w:rsid w:val="5CF77F7E"/>
    <w:rsid w:val="5D02548B"/>
    <w:rsid w:val="5D07484F"/>
    <w:rsid w:val="5D0905C7"/>
    <w:rsid w:val="5D0B433F"/>
    <w:rsid w:val="5D0C0CBE"/>
    <w:rsid w:val="5D0D7A45"/>
    <w:rsid w:val="5D1D2C5A"/>
    <w:rsid w:val="5D1F603D"/>
    <w:rsid w:val="5D2E1DE1"/>
    <w:rsid w:val="5D355860"/>
    <w:rsid w:val="5D443CF5"/>
    <w:rsid w:val="5D4D7582"/>
    <w:rsid w:val="5D5E6B65"/>
    <w:rsid w:val="5D660432"/>
    <w:rsid w:val="5D673D7F"/>
    <w:rsid w:val="5D8A795A"/>
    <w:rsid w:val="5D8B3CE7"/>
    <w:rsid w:val="5D92680F"/>
    <w:rsid w:val="5D9407D9"/>
    <w:rsid w:val="5D945E8D"/>
    <w:rsid w:val="5DBC388C"/>
    <w:rsid w:val="5DBF1BCE"/>
    <w:rsid w:val="5DC664B8"/>
    <w:rsid w:val="5DC7295C"/>
    <w:rsid w:val="5DC866D4"/>
    <w:rsid w:val="5DCA5FA9"/>
    <w:rsid w:val="5DCF4BA7"/>
    <w:rsid w:val="5DD15EA7"/>
    <w:rsid w:val="5DD50E01"/>
    <w:rsid w:val="5DD50E72"/>
    <w:rsid w:val="5DD605FF"/>
    <w:rsid w:val="5DE74DAC"/>
    <w:rsid w:val="5DFF22CF"/>
    <w:rsid w:val="5E021BE6"/>
    <w:rsid w:val="5E025830"/>
    <w:rsid w:val="5E056FE1"/>
    <w:rsid w:val="5E091947"/>
    <w:rsid w:val="5E0A4454"/>
    <w:rsid w:val="5E0A4EF9"/>
    <w:rsid w:val="5E0D7817"/>
    <w:rsid w:val="5E101181"/>
    <w:rsid w:val="5E104167"/>
    <w:rsid w:val="5E111E29"/>
    <w:rsid w:val="5E1436C8"/>
    <w:rsid w:val="5E167440"/>
    <w:rsid w:val="5E1D07CE"/>
    <w:rsid w:val="5E225DE5"/>
    <w:rsid w:val="5E2532E6"/>
    <w:rsid w:val="5E2A4C99"/>
    <w:rsid w:val="5E2C27BF"/>
    <w:rsid w:val="5E2C4D90"/>
    <w:rsid w:val="5E361890"/>
    <w:rsid w:val="5E3B659B"/>
    <w:rsid w:val="5E413D91"/>
    <w:rsid w:val="5E465C45"/>
    <w:rsid w:val="5E4F4700"/>
    <w:rsid w:val="5E564E88"/>
    <w:rsid w:val="5E632974"/>
    <w:rsid w:val="5E647C12"/>
    <w:rsid w:val="5E652175"/>
    <w:rsid w:val="5E6C7293"/>
    <w:rsid w:val="5E6E102A"/>
    <w:rsid w:val="5E6F4AAC"/>
    <w:rsid w:val="5E745F14"/>
    <w:rsid w:val="5E761966"/>
    <w:rsid w:val="5E785A05"/>
    <w:rsid w:val="5E793037"/>
    <w:rsid w:val="5E7A5C21"/>
    <w:rsid w:val="5E7B72A3"/>
    <w:rsid w:val="5E8C29D8"/>
    <w:rsid w:val="5E8E4B64"/>
    <w:rsid w:val="5E912F6A"/>
    <w:rsid w:val="5E96232F"/>
    <w:rsid w:val="5E9D36BD"/>
    <w:rsid w:val="5E9E6F20"/>
    <w:rsid w:val="5EA93E10"/>
    <w:rsid w:val="5EB17168"/>
    <w:rsid w:val="5EC23124"/>
    <w:rsid w:val="5ED57CA3"/>
    <w:rsid w:val="5ED86351"/>
    <w:rsid w:val="5EE1115F"/>
    <w:rsid w:val="5EE17D40"/>
    <w:rsid w:val="5EE237C6"/>
    <w:rsid w:val="5EE56E15"/>
    <w:rsid w:val="5EE81D52"/>
    <w:rsid w:val="5EEC1F4F"/>
    <w:rsid w:val="5EF3152F"/>
    <w:rsid w:val="5EF36638"/>
    <w:rsid w:val="5F0454EA"/>
    <w:rsid w:val="5F08322C"/>
    <w:rsid w:val="5F0F66F3"/>
    <w:rsid w:val="5F155949"/>
    <w:rsid w:val="5F17741E"/>
    <w:rsid w:val="5F180F96"/>
    <w:rsid w:val="5F18122F"/>
    <w:rsid w:val="5F221E14"/>
    <w:rsid w:val="5F225970"/>
    <w:rsid w:val="5F3C1128"/>
    <w:rsid w:val="5F3C4C84"/>
    <w:rsid w:val="5F404BBB"/>
    <w:rsid w:val="5F4104EC"/>
    <w:rsid w:val="5F4678B1"/>
    <w:rsid w:val="5F4D0FF9"/>
    <w:rsid w:val="5F536572"/>
    <w:rsid w:val="5F5B5B61"/>
    <w:rsid w:val="5F5E0F96"/>
    <w:rsid w:val="5F623CFA"/>
    <w:rsid w:val="5F6366B5"/>
    <w:rsid w:val="5F6E5059"/>
    <w:rsid w:val="5F700DD2"/>
    <w:rsid w:val="5F7C7776"/>
    <w:rsid w:val="5F814D8D"/>
    <w:rsid w:val="5F83500A"/>
    <w:rsid w:val="5F9347C8"/>
    <w:rsid w:val="5FA752D7"/>
    <w:rsid w:val="5FAE166A"/>
    <w:rsid w:val="5FB92779"/>
    <w:rsid w:val="5FD74F92"/>
    <w:rsid w:val="5FE64BF0"/>
    <w:rsid w:val="5FF76DFD"/>
    <w:rsid w:val="600951E3"/>
    <w:rsid w:val="6011414D"/>
    <w:rsid w:val="60196D73"/>
    <w:rsid w:val="60206354"/>
    <w:rsid w:val="60246068"/>
    <w:rsid w:val="60251BBC"/>
    <w:rsid w:val="60377714"/>
    <w:rsid w:val="60425619"/>
    <w:rsid w:val="604C7149"/>
    <w:rsid w:val="604F32A9"/>
    <w:rsid w:val="604F6C39"/>
    <w:rsid w:val="6056497F"/>
    <w:rsid w:val="60575AEE"/>
    <w:rsid w:val="605D3104"/>
    <w:rsid w:val="60600E46"/>
    <w:rsid w:val="60673F83"/>
    <w:rsid w:val="606E1DA0"/>
    <w:rsid w:val="607B17DC"/>
    <w:rsid w:val="60912421"/>
    <w:rsid w:val="60A45BBA"/>
    <w:rsid w:val="60A83332"/>
    <w:rsid w:val="60AA0313"/>
    <w:rsid w:val="60AA3E6F"/>
    <w:rsid w:val="60AD71BC"/>
    <w:rsid w:val="60AE1BB1"/>
    <w:rsid w:val="60B27F91"/>
    <w:rsid w:val="60B40FCA"/>
    <w:rsid w:val="60B8021A"/>
    <w:rsid w:val="60D07D7A"/>
    <w:rsid w:val="60E47381"/>
    <w:rsid w:val="60FA4DF7"/>
    <w:rsid w:val="60FB291D"/>
    <w:rsid w:val="60FC519A"/>
    <w:rsid w:val="60FF5DBE"/>
    <w:rsid w:val="61001CE1"/>
    <w:rsid w:val="6106379C"/>
    <w:rsid w:val="6115317F"/>
    <w:rsid w:val="61181721"/>
    <w:rsid w:val="612702A0"/>
    <w:rsid w:val="612754C0"/>
    <w:rsid w:val="613227E3"/>
    <w:rsid w:val="613468DF"/>
    <w:rsid w:val="613D270C"/>
    <w:rsid w:val="615300AC"/>
    <w:rsid w:val="615C785F"/>
    <w:rsid w:val="615E35D8"/>
    <w:rsid w:val="616164F1"/>
    <w:rsid w:val="61675733"/>
    <w:rsid w:val="616B1851"/>
    <w:rsid w:val="61716C2E"/>
    <w:rsid w:val="61740A6D"/>
    <w:rsid w:val="617A7CE6"/>
    <w:rsid w:val="619C4100"/>
    <w:rsid w:val="61A86601"/>
    <w:rsid w:val="61AB7E9F"/>
    <w:rsid w:val="61AE798F"/>
    <w:rsid w:val="61BB3465"/>
    <w:rsid w:val="61C02A73"/>
    <w:rsid w:val="61C3355C"/>
    <w:rsid w:val="61C37893"/>
    <w:rsid w:val="61C64CD9"/>
    <w:rsid w:val="61CE3B8D"/>
    <w:rsid w:val="61E12E07"/>
    <w:rsid w:val="61E67D09"/>
    <w:rsid w:val="61EA2AE9"/>
    <w:rsid w:val="61EA4E6B"/>
    <w:rsid w:val="61ED04B8"/>
    <w:rsid w:val="61ED4F51"/>
    <w:rsid w:val="61F71336"/>
    <w:rsid w:val="61F77588"/>
    <w:rsid w:val="62073330"/>
    <w:rsid w:val="621157A3"/>
    <w:rsid w:val="621232AC"/>
    <w:rsid w:val="62150505"/>
    <w:rsid w:val="621779C3"/>
    <w:rsid w:val="62195750"/>
    <w:rsid w:val="621974FF"/>
    <w:rsid w:val="621B6D59"/>
    <w:rsid w:val="622A34BA"/>
    <w:rsid w:val="622D4D58"/>
    <w:rsid w:val="623065F6"/>
    <w:rsid w:val="62361E5F"/>
    <w:rsid w:val="62456EAA"/>
    <w:rsid w:val="624D2976"/>
    <w:rsid w:val="625E59EC"/>
    <w:rsid w:val="62614A02"/>
    <w:rsid w:val="626250E8"/>
    <w:rsid w:val="6263077A"/>
    <w:rsid w:val="62634C1E"/>
    <w:rsid w:val="626616D3"/>
    <w:rsid w:val="626D405C"/>
    <w:rsid w:val="62731F0A"/>
    <w:rsid w:val="627666FF"/>
    <w:rsid w:val="627B2308"/>
    <w:rsid w:val="627E55B4"/>
    <w:rsid w:val="627E7362"/>
    <w:rsid w:val="628F77C1"/>
    <w:rsid w:val="62943029"/>
    <w:rsid w:val="62A212A2"/>
    <w:rsid w:val="62B72874"/>
    <w:rsid w:val="62C54F90"/>
    <w:rsid w:val="62C70D09"/>
    <w:rsid w:val="62DD41FF"/>
    <w:rsid w:val="62E30565"/>
    <w:rsid w:val="62E80C7F"/>
    <w:rsid w:val="62EE2739"/>
    <w:rsid w:val="62EF025F"/>
    <w:rsid w:val="62F13FD7"/>
    <w:rsid w:val="63083AA2"/>
    <w:rsid w:val="630C0E11"/>
    <w:rsid w:val="630E06E5"/>
    <w:rsid w:val="63135A4C"/>
    <w:rsid w:val="63151451"/>
    <w:rsid w:val="631F0B45"/>
    <w:rsid w:val="632C14B3"/>
    <w:rsid w:val="633140F4"/>
    <w:rsid w:val="63326288"/>
    <w:rsid w:val="63521831"/>
    <w:rsid w:val="635A7DCF"/>
    <w:rsid w:val="636D0EF2"/>
    <w:rsid w:val="637349EC"/>
    <w:rsid w:val="63770981"/>
    <w:rsid w:val="637B1AF3"/>
    <w:rsid w:val="637C7D45"/>
    <w:rsid w:val="637D586B"/>
    <w:rsid w:val="637F3CAB"/>
    <w:rsid w:val="637F7835"/>
    <w:rsid w:val="63803269"/>
    <w:rsid w:val="63842F49"/>
    <w:rsid w:val="6384784A"/>
    <w:rsid w:val="63860BC4"/>
    <w:rsid w:val="63890CCD"/>
    <w:rsid w:val="638E67FA"/>
    <w:rsid w:val="639037F0"/>
    <w:rsid w:val="63917353"/>
    <w:rsid w:val="63A4104A"/>
    <w:rsid w:val="63AB3290"/>
    <w:rsid w:val="63B15515"/>
    <w:rsid w:val="63C048AE"/>
    <w:rsid w:val="63C678A1"/>
    <w:rsid w:val="63CC7DF9"/>
    <w:rsid w:val="63D27C9A"/>
    <w:rsid w:val="63D731CD"/>
    <w:rsid w:val="63DA0F0F"/>
    <w:rsid w:val="63DC6A36"/>
    <w:rsid w:val="63DD630A"/>
    <w:rsid w:val="63E47698"/>
    <w:rsid w:val="63E5460A"/>
    <w:rsid w:val="63E63160"/>
    <w:rsid w:val="63F41FD1"/>
    <w:rsid w:val="64055F8C"/>
    <w:rsid w:val="640F0BB9"/>
    <w:rsid w:val="640F47E2"/>
    <w:rsid w:val="641E704E"/>
    <w:rsid w:val="6422624C"/>
    <w:rsid w:val="64243F39"/>
    <w:rsid w:val="64313048"/>
    <w:rsid w:val="643B2AF7"/>
    <w:rsid w:val="64414347"/>
    <w:rsid w:val="6447583A"/>
    <w:rsid w:val="6452519C"/>
    <w:rsid w:val="645667E8"/>
    <w:rsid w:val="64572560"/>
    <w:rsid w:val="645B3DFE"/>
    <w:rsid w:val="646A4041"/>
    <w:rsid w:val="64763675"/>
    <w:rsid w:val="64805BFE"/>
    <w:rsid w:val="64816640"/>
    <w:rsid w:val="64850E7B"/>
    <w:rsid w:val="648D0772"/>
    <w:rsid w:val="64A357A5"/>
    <w:rsid w:val="64AE7C89"/>
    <w:rsid w:val="64C00105"/>
    <w:rsid w:val="64C21846"/>
    <w:rsid w:val="64C33929"/>
    <w:rsid w:val="64C34102"/>
    <w:rsid w:val="64D67929"/>
    <w:rsid w:val="64DA6F7A"/>
    <w:rsid w:val="64DB4F3F"/>
    <w:rsid w:val="64E02555"/>
    <w:rsid w:val="64E2007C"/>
    <w:rsid w:val="64EA6F30"/>
    <w:rsid w:val="64EF09EB"/>
    <w:rsid w:val="64FD4EB5"/>
    <w:rsid w:val="65051FBC"/>
    <w:rsid w:val="650638CC"/>
    <w:rsid w:val="651E6BDA"/>
    <w:rsid w:val="651F307E"/>
    <w:rsid w:val="65345A62"/>
    <w:rsid w:val="65351146"/>
    <w:rsid w:val="653528A1"/>
    <w:rsid w:val="653F2810"/>
    <w:rsid w:val="653F7E1A"/>
    <w:rsid w:val="65420B1A"/>
    <w:rsid w:val="65436640"/>
    <w:rsid w:val="654421C0"/>
    <w:rsid w:val="65455EA5"/>
    <w:rsid w:val="6548722A"/>
    <w:rsid w:val="65497984"/>
    <w:rsid w:val="654C22A3"/>
    <w:rsid w:val="65584EC2"/>
    <w:rsid w:val="655B1BDC"/>
    <w:rsid w:val="6565085D"/>
    <w:rsid w:val="656C4C34"/>
    <w:rsid w:val="65752210"/>
    <w:rsid w:val="658A4348"/>
    <w:rsid w:val="659365A2"/>
    <w:rsid w:val="65960E66"/>
    <w:rsid w:val="65964ABA"/>
    <w:rsid w:val="65973490"/>
    <w:rsid w:val="659A6BA8"/>
    <w:rsid w:val="659D27A6"/>
    <w:rsid w:val="659E56F4"/>
    <w:rsid w:val="65A2780B"/>
    <w:rsid w:val="65A6554D"/>
    <w:rsid w:val="65A73073"/>
    <w:rsid w:val="65AD6B5F"/>
    <w:rsid w:val="65B716DA"/>
    <w:rsid w:val="65BE221B"/>
    <w:rsid w:val="65C23C54"/>
    <w:rsid w:val="65C717C5"/>
    <w:rsid w:val="65C854C3"/>
    <w:rsid w:val="65C971C7"/>
    <w:rsid w:val="65DA7F31"/>
    <w:rsid w:val="65E240AB"/>
    <w:rsid w:val="65E322FD"/>
    <w:rsid w:val="66084045"/>
    <w:rsid w:val="66132271"/>
    <w:rsid w:val="66195D1F"/>
    <w:rsid w:val="661D3DB4"/>
    <w:rsid w:val="661F0E5C"/>
    <w:rsid w:val="66203F54"/>
    <w:rsid w:val="6623150D"/>
    <w:rsid w:val="66236B9E"/>
    <w:rsid w:val="66300B06"/>
    <w:rsid w:val="663366B5"/>
    <w:rsid w:val="66410DD2"/>
    <w:rsid w:val="66495ED8"/>
    <w:rsid w:val="66546D57"/>
    <w:rsid w:val="66576847"/>
    <w:rsid w:val="666230CA"/>
    <w:rsid w:val="666346EA"/>
    <w:rsid w:val="66680A54"/>
    <w:rsid w:val="667016B7"/>
    <w:rsid w:val="667431B0"/>
    <w:rsid w:val="66786EC2"/>
    <w:rsid w:val="66833198"/>
    <w:rsid w:val="66983372"/>
    <w:rsid w:val="669D32EE"/>
    <w:rsid w:val="66A57E2B"/>
    <w:rsid w:val="66A66CB3"/>
    <w:rsid w:val="66AB0941"/>
    <w:rsid w:val="66AF21DF"/>
    <w:rsid w:val="66B9305E"/>
    <w:rsid w:val="66BD35E9"/>
    <w:rsid w:val="66BE68C6"/>
    <w:rsid w:val="66C0619B"/>
    <w:rsid w:val="66C4117E"/>
    <w:rsid w:val="66D25ECE"/>
    <w:rsid w:val="66DF144C"/>
    <w:rsid w:val="66E31E89"/>
    <w:rsid w:val="66E75E1D"/>
    <w:rsid w:val="66FB3677"/>
    <w:rsid w:val="66FD119D"/>
    <w:rsid w:val="66FE3167"/>
    <w:rsid w:val="670630BA"/>
    <w:rsid w:val="670D42CC"/>
    <w:rsid w:val="67112E9A"/>
    <w:rsid w:val="67116BC2"/>
    <w:rsid w:val="671B5EFB"/>
    <w:rsid w:val="671D183F"/>
    <w:rsid w:val="67210FD7"/>
    <w:rsid w:val="672178DE"/>
    <w:rsid w:val="673247A9"/>
    <w:rsid w:val="67336B41"/>
    <w:rsid w:val="6734640B"/>
    <w:rsid w:val="67386679"/>
    <w:rsid w:val="673D3C8F"/>
    <w:rsid w:val="673E3CEE"/>
    <w:rsid w:val="674072DB"/>
    <w:rsid w:val="674943E2"/>
    <w:rsid w:val="67542D87"/>
    <w:rsid w:val="67582877"/>
    <w:rsid w:val="676A70F8"/>
    <w:rsid w:val="676C1E7F"/>
    <w:rsid w:val="676E209B"/>
    <w:rsid w:val="67705E13"/>
    <w:rsid w:val="67812B00"/>
    <w:rsid w:val="678216A2"/>
    <w:rsid w:val="67931B01"/>
    <w:rsid w:val="6793565D"/>
    <w:rsid w:val="67950C40"/>
    <w:rsid w:val="67955879"/>
    <w:rsid w:val="679B69ED"/>
    <w:rsid w:val="679D472E"/>
    <w:rsid w:val="67AA4219"/>
    <w:rsid w:val="67AE693B"/>
    <w:rsid w:val="67B13D35"/>
    <w:rsid w:val="67B51A77"/>
    <w:rsid w:val="67B60DEF"/>
    <w:rsid w:val="67BC73CD"/>
    <w:rsid w:val="67BD6B7E"/>
    <w:rsid w:val="67C73559"/>
    <w:rsid w:val="67C80999"/>
    <w:rsid w:val="67C900A9"/>
    <w:rsid w:val="67D0240D"/>
    <w:rsid w:val="67D21006"/>
    <w:rsid w:val="67D31EFE"/>
    <w:rsid w:val="67D77C40"/>
    <w:rsid w:val="67DD0FCE"/>
    <w:rsid w:val="67E03A86"/>
    <w:rsid w:val="67FA392E"/>
    <w:rsid w:val="67FC45E8"/>
    <w:rsid w:val="68012F0F"/>
    <w:rsid w:val="680D3662"/>
    <w:rsid w:val="68106CAE"/>
    <w:rsid w:val="68135C5D"/>
    <w:rsid w:val="68156FD0"/>
    <w:rsid w:val="6817628E"/>
    <w:rsid w:val="681A7B2C"/>
    <w:rsid w:val="681C484C"/>
    <w:rsid w:val="681F5143"/>
    <w:rsid w:val="682F0B3F"/>
    <w:rsid w:val="68321007"/>
    <w:rsid w:val="68324E76"/>
    <w:rsid w:val="684177AA"/>
    <w:rsid w:val="68460921"/>
    <w:rsid w:val="6848469A"/>
    <w:rsid w:val="685E210F"/>
    <w:rsid w:val="68721326"/>
    <w:rsid w:val="68815DFE"/>
    <w:rsid w:val="6883020A"/>
    <w:rsid w:val="68866F70"/>
    <w:rsid w:val="68971FD1"/>
    <w:rsid w:val="689B46AF"/>
    <w:rsid w:val="68A1024E"/>
    <w:rsid w:val="68A45648"/>
    <w:rsid w:val="68A96C8A"/>
    <w:rsid w:val="68B166E3"/>
    <w:rsid w:val="68BE602D"/>
    <w:rsid w:val="68C1304E"/>
    <w:rsid w:val="68C218BB"/>
    <w:rsid w:val="68D75A1D"/>
    <w:rsid w:val="68E068A8"/>
    <w:rsid w:val="68E85E7D"/>
    <w:rsid w:val="68EA2430"/>
    <w:rsid w:val="68EC408B"/>
    <w:rsid w:val="68EE2E29"/>
    <w:rsid w:val="68F55EA4"/>
    <w:rsid w:val="68F95994"/>
    <w:rsid w:val="68FC7232"/>
    <w:rsid w:val="68FE34B8"/>
    <w:rsid w:val="69016300"/>
    <w:rsid w:val="69026F3E"/>
    <w:rsid w:val="69054339"/>
    <w:rsid w:val="691B1DAE"/>
    <w:rsid w:val="692878C4"/>
    <w:rsid w:val="693E3CEF"/>
    <w:rsid w:val="6941378F"/>
    <w:rsid w:val="69433957"/>
    <w:rsid w:val="69621F1C"/>
    <w:rsid w:val="696F5C56"/>
    <w:rsid w:val="69755CEF"/>
    <w:rsid w:val="69796AD5"/>
    <w:rsid w:val="697C3D03"/>
    <w:rsid w:val="69804F0B"/>
    <w:rsid w:val="69892770"/>
    <w:rsid w:val="698C2CAC"/>
    <w:rsid w:val="69967687"/>
    <w:rsid w:val="69993B96"/>
    <w:rsid w:val="69A4520A"/>
    <w:rsid w:val="69A94C8C"/>
    <w:rsid w:val="69AA3132"/>
    <w:rsid w:val="69AB0E78"/>
    <w:rsid w:val="69AC6EAA"/>
    <w:rsid w:val="69AE781F"/>
    <w:rsid w:val="69B17333"/>
    <w:rsid w:val="69B22B05"/>
    <w:rsid w:val="69C057AA"/>
    <w:rsid w:val="69C53861"/>
    <w:rsid w:val="69C73CE4"/>
    <w:rsid w:val="69D02B99"/>
    <w:rsid w:val="69D106BF"/>
    <w:rsid w:val="69D87C9F"/>
    <w:rsid w:val="69E41C1F"/>
    <w:rsid w:val="69EE1FC6"/>
    <w:rsid w:val="69F10D61"/>
    <w:rsid w:val="69FA0A54"/>
    <w:rsid w:val="69FA7C16"/>
    <w:rsid w:val="69FD3262"/>
    <w:rsid w:val="69FD7706"/>
    <w:rsid w:val="6A024B78"/>
    <w:rsid w:val="6A09773E"/>
    <w:rsid w:val="6A0E1913"/>
    <w:rsid w:val="6A17043A"/>
    <w:rsid w:val="6A175BDB"/>
    <w:rsid w:val="6A1E2B6C"/>
    <w:rsid w:val="6A2048FC"/>
    <w:rsid w:val="6A211646"/>
    <w:rsid w:val="6A42336B"/>
    <w:rsid w:val="6A43612F"/>
    <w:rsid w:val="6A445335"/>
    <w:rsid w:val="6A4470E3"/>
    <w:rsid w:val="6A4A79BE"/>
    <w:rsid w:val="6A5135AE"/>
    <w:rsid w:val="6A544F03"/>
    <w:rsid w:val="6A550B73"/>
    <w:rsid w:val="6A554E4C"/>
    <w:rsid w:val="6A5B17C0"/>
    <w:rsid w:val="6A6B0B13"/>
    <w:rsid w:val="6A746B99"/>
    <w:rsid w:val="6A813E93"/>
    <w:rsid w:val="6A822A1B"/>
    <w:rsid w:val="6A841BD5"/>
    <w:rsid w:val="6A905CAB"/>
    <w:rsid w:val="6A94643E"/>
    <w:rsid w:val="6A9C0CCD"/>
    <w:rsid w:val="6A9F1F43"/>
    <w:rsid w:val="6AA07051"/>
    <w:rsid w:val="6AA14535"/>
    <w:rsid w:val="6AA858C3"/>
    <w:rsid w:val="6AAD6A36"/>
    <w:rsid w:val="6AAF52B8"/>
    <w:rsid w:val="6AAF57D6"/>
    <w:rsid w:val="6AB73B1D"/>
    <w:rsid w:val="6AC83870"/>
    <w:rsid w:val="6AD2649C"/>
    <w:rsid w:val="6AD41C99"/>
    <w:rsid w:val="6ADC556D"/>
    <w:rsid w:val="6AE76BAE"/>
    <w:rsid w:val="6AE92AC1"/>
    <w:rsid w:val="6AEF50BD"/>
    <w:rsid w:val="6AF02DC7"/>
    <w:rsid w:val="6AF04AD9"/>
    <w:rsid w:val="6AF46B71"/>
    <w:rsid w:val="6AFC79BD"/>
    <w:rsid w:val="6AFE1987"/>
    <w:rsid w:val="6B0A20DA"/>
    <w:rsid w:val="6B126DCB"/>
    <w:rsid w:val="6B1D1F48"/>
    <w:rsid w:val="6B232691"/>
    <w:rsid w:val="6B2F435D"/>
    <w:rsid w:val="6B340F05"/>
    <w:rsid w:val="6B396999"/>
    <w:rsid w:val="6B3E7FD6"/>
    <w:rsid w:val="6B4227D3"/>
    <w:rsid w:val="6B4D1FC7"/>
    <w:rsid w:val="6B6F018F"/>
    <w:rsid w:val="6B7C1BAA"/>
    <w:rsid w:val="6B8005EE"/>
    <w:rsid w:val="6B8D2095"/>
    <w:rsid w:val="6B8F5120"/>
    <w:rsid w:val="6B985938"/>
    <w:rsid w:val="6B99520C"/>
    <w:rsid w:val="6B9D3F13"/>
    <w:rsid w:val="6B9D4CFC"/>
    <w:rsid w:val="6BA22313"/>
    <w:rsid w:val="6BBD539F"/>
    <w:rsid w:val="6BD11426"/>
    <w:rsid w:val="6BD149EF"/>
    <w:rsid w:val="6BDA5F51"/>
    <w:rsid w:val="6BE20961"/>
    <w:rsid w:val="6BEE6316"/>
    <w:rsid w:val="6BF25356"/>
    <w:rsid w:val="6BF608B1"/>
    <w:rsid w:val="6C006F3E"/>
    <w:rsid w:val="6C050CA2"/>
    <w:rsid w:val="6C05616B"/>
    <w:rsid w:val="6C136D6D"/>
    <w:rsid w:val="6C141316"/>
    <w:rsid w:val="6C16437D"/>
    <w:rsid w:val="6C1B20C5"/>
    <w:rsid w:val="6C1F2F1E"/>
    <w:rsid w:val="6C20148A"/>
    <w:rsid w:val="6C380529"/>
    <w:rsid w:val="6C3B2DB8"/>
    <w:rsid w:val="6C3F437F"/>
    <w:rsid w:val="6C4B4758"/>
    <w:rsid w:val="6C5241A8"/>
    <w:rsid w:val="6C580C23"/>
    <w:rsid w:val="6C5D623A"/>
    <w:rsid w:val="6C5E2AEB"/>
    <w:rsid w:val="6C5E4C30"/>
    <w:rsid w:val="6C6907F7"/>
    <w:rsid w:val="6C6B4DFB"/>
    <w:rsid w:val="6C75666E"/>
    <w:rsid w:val="6C792B8E"/>
    <w:rsid w:val="6C7C646E"/>
    <w:rsid w:val="6C847C6A"/>
    <w:rsid w:val="6C8726F7"/>
    <w:rsid w:val="6C884076"/>
    <w:rsid w:val="6C8B46C6"/>
    <w:rsid w:val="6C8C58A9"/>
    <w:rsid w:val="6C9A56E0"/>
    <w:rsid w:val="6CA43E69"/>
    <w:rsid w:val="6CA81BAB"/>
    <w:rsid w:val="6CAB36AD"/>
    <w:rsid w:val="6CAC5654"/>
    <w:rsid w:val="6CC15645"/>
    <w:rsid w:val="6CC87955"/>
    <w:rsid w:val="6CCB248B"/>
    <w:rsid w:val="6CDE381E"/>
    <w:rsid w:val="6CE16E6B"/>
    <w:rsid w:val="6CE32BE3"/>
    <w:rsid w:val="6CE4167D"/>
    <w:rsid w:val="6CE54BAD"/>
    <w:rsid w:val="6CE801F9"/>
    <w:rsid w:val="6CE81FA7"/>
    <w:rsid w:val="6CF307A1"/>
    <w:rsid w:val="6CF66663"/>
    <w:rsid w:val="6CFE5C6F"/>
    <w:rsid w:val="6D0118BC"/>
    <w:rsid w:val="6D062D75"/>
    <w:rsid w:val="6D066B64"/>
    <w:rsid w:val="6D125276"/>
    <w:rsid w:val="6D215A53"/>
    <w:rsid w:val="6D254FA9"/>
    <w:rsid w:val="6D267E2D"/>
    <w:rsid w:val="6D35228E"/>
    <w:rsid w:val="6D3A657B"/>
    <w:rsid w:val="6D3C5A30"/>
    <w:rsid w:val="6D3F0053"/>
    <w:rsid w:val="6D426B97"/>
    <w:rsid w:val="6D4847CA"/>
    <w:rsid w:val="6D4E7F15"/>
    <w:rsid w:val="6D4F74E9"/>
    <w:rsid w:val="6D5D1399"/>
    <w:rsid w:val="6D5D7FA4"/>
    <w:rsid w:val="6D623EBC"/>
    <w:rsid w:val="6D631F76"/>
    <w:rsid w:val="6D65184A"/>
    <w:rsid w:val="6D6535F8"/>
    <w:rsid w:val="6D7E0B5E"/>
    <w:rsid w:val="6D853C9A"/>
    <w:rsid w:val="6D8937A7"/>
    <w:rsid w:val="6D8D0DA1"/>
    <w:rsid w:val="6D903A10"/>
    <w:rsid w:val="6D9D09CE"/>
    <w:rsid w:val="6DA305C4"/>
    <w:rsid w:val="6DA938A7"/>
    <w:rsid w:val="6DAB796A"/>
    <w:rsid w:val="6DB4457F"/>
    <w:rsid w:val="6DBA1173"/>
    <w:rsid w:val="6DBF7B7F"/>
    <w:rsid w:val="6DC171E5"/>
    <w:rsid w:val="6DC20A4A"/>
    <w:rsid w:val="6DC22169"/>
    <w:rsid w:val="6DC26C9C"/>
    <w:rsid w:val="6DCE5641"/>
    <w:rsid w:val="6DCF4F15"/>
    <w:rsid w:val="6DD440B1"/>
    <w:rsid w:val="6DDA6142"/>
    <w:rsid w:val="6DDD3AD6"/>
    <w:rsid w:val="6DDE33AA"/>
    <w:rsid w:val="6DE035C6"/>
    <w:rsid w:val="6DE36C13"/>
    <w:rsid w:val="6DE44E65"/>
    <w:rsid w:val="6DE50BDD"/>
    <w:rsid w:val="6DE704B1"/>
    <w:rsid w:val="6DF130DE"/>
    <w:rsid w:val="6DF456B4"/>
    <w:rsid w:val="6DFB0400"/>
    <w:rsid w:val="6E07598D"/>
    <w:rsid w:val="6E0B4A78"/>
    <w:rsid w:val="6E13574A"/>
    <w:rsid w:val="6E1868BC"/>
    <w:rsid w:val="6E1B45FE"/>
    <w:rsid w:val="6E1C3766"/>
    <w:rsid w:val="6E25600C"/>
    <w:rsid w:val="6E25722B"/>
    <w:rsid w:val="6E26547D"/>
    <w:rsid w:val="6E2C680B"/>
    <w:rsid w:val="6E2E4332"/>
    <w:rsid w:val="6E2F15D2"/>
    <w:rsid w:val="6E3F1995"/>
    <w:rsid w:val="6E526272"/>
    <w:rsid w:val="6E533D98"/>
    <w:rsid w:val="6E55366C"/>
    <w:rsid w:val="6E554DC4"/>
    <w:rsid w:val="6E5A6ED5"/>
    <w:rsid w:val="6E5B1928"/>
    <w:rsid w:val="6E5D31FA"/>
    <w:rsid w:val="6E5F273D"/>
    <w:rsid w:val="6E671FF6"/>
    <w:rsid w:val="6E6935BC"/>
    <w:rsid w:val="6E6C6C08"/>
    <w:rsid w:val="6E6E472E"/>
    <w:rsid w:val="6E707791"/>
    <w:rsid w:val="6E7D2BC3"/>
    <w:rsid w:val="6E804461"/>
    <w:rsid w:val="6E8421A4"/>
    <w:rsid w:val="6E8F42D3"/>
    <w:rsid w:val="6E9800DF"/>
    <w:rsid w:val="6EAE6FBB"/>
    <w:rsid w:val="6EB34837"/>
    <w:rsid w:val="6EC5266C"/>
    <w:rsid w:val="6EC6456A"/>
    <w:rsid w:val="6EC86534"/>
    <w:rsid w:val="6ECE34D5"/>
    <w:rsid w:val="6EDE7B06"/>
    <w:rsid w:val="6EE13CD8"/>
    <w:rsid w:val="6F0D03EB"/>
    <w:rsid w:val="6F0D650B"/>
    <w:rsid w:val="6F103A37"/>
    <w:rsid w:val="6F12155D"/>
    <w:rsid w:val="6F143527"/>
    <w:rsid w:val="6F15104E"/>
    <w:rsid w:val="6F161BB6"/>
    <w:rsid w:val="6F215C44"/>
    <w:rsid w:val="6F262556"/>
    <w:rsid w:val="6F273C43"/>
    <w:rsid w:val="6F2D45E9"/>
    <w:rsid w:val="6F326B60"/>
    <w:rsid w:val="6F3E2352"/>
    <w:rsid w:val="6F55769C"/>
    <w:rsid w:val="6F5778B8"/>
    <w:rsid w:val="6F643644"/>
    <w:rsid w:val="6F667AFB"/>
    <w:rsid w:val="6F7246F2"/>
    <w:rsid w:val="6F785B86"/>
    <w:rsid w:val="6F7C0D56"/>
    <w:rsid w:val="6F852BA1"/>
    <w:rsid w:val="6F87620D"/>
    <w:rsid w:val="6F8F49A6"/>
    <w:rsid w:val="6F9B59F7"/>
    <w:rsid w:val="6FA10775"/>
    <w:rsid w:val="6FA32AFD"/>
    <w:rsid w:val="6FAC3760"/>
    <w:rsid w:val="6FAF786B"/>
    <w:rsid w:val="6FB57E20"/>
    <w:rsid w:val="6FB95E7D"/>
    <w:rsid w:val="6FC00FB9"/>
    <w:rsid w:val="6FC872C5"/>
    <w:rsid w:val="6FCA1E38"/>
    <w:rsid w:val="6FCA73A4"/>
    <w:rsid w:val="6FCE7C59"/>
    <w:rsid w:val="6FD131C7"/>
    <w:rsid w:val="6FE1353B"/>
    <w:rsid w:val="6FEF7AF1"/>
    <w:rsid w:val="6FF0068F"/>
    <w:rsid w:val="6FF11ABB"/>
    <w:rsid w:val="6FF3138F"/>
    <w:rsid w:val="700215D2"/>
    <w:rsid w:val="70082960"/>
    <w:rsid w:val="700851FC"/>
    <w:rsid w:val="700D583A"/>
    <w:rsid w:val="70100F79"/>
    <w:rsid w:val="7018144C"/>
    <w:rsid w:val="70187047"/>
    <w:rsid w:val="701B6F23"/>
    <w:rsid w:val="702C72CB"/>
    <w:rsid w:val="703025E3"/>
    <w:rsid w:val="70361D04"/>
    <w:rsid w:val="703674CE"/>
    <w:rsid w:val="703F6DF3"/>
    <w:rsid w:val="7040644A"/>
    <w:rsid w:val="704240C4"/>
    <w:rsid w:val="70431FF5"/>
    <w:rsid w:val="70512AD7"/>
    <w:rsid w:val="70553DF8"/>
    <w:rsid w:val="705B5186"/>
    <w:rsid w:val="706202C3"/>
    <w:rsid w:val="70691D55"/>
    <w:rsid w:val="707F70C6"/>
    <w:rsid w:val="70827DBA"/>
    <w:rsid w:val="708435F4"/>
    <w:rsid w:val="708741CD"/>
    <w:rsid w:val="708A4FD7"/>
    <w:rsid w:val="708B31EA"/>
    <w:rsid w:val="708B5A6B"/>
    <w:rsid w:val="709075F5"/>
    <w:rsid w:val="70983CE4"/>
    <w:rsid w:val="709A7A5C"/>
    <w:rsid w:val="70B22023"/>
    <w:rsid w:val="70B7060E"/>
    <w:rsid w:val="70C64CF5"/>
    <w:rsid w:val="70D00CF3"/>
    <w:rsid w:val="70D05E26"/>
    <w:rsid w:val="70D72A5F"/>
    <w:rsid w:val="70DA59A7"/>
    <w:rsid w:val="70DB30C6"/>
    <w:rsid w:val="70DE203F"/>
    <w:rsid w:val="70E66286"/>
    <w:rsid w:val="70EB1AB2"/>
    <w:rsid w:val="70EB650A"/>
    <w:rsid w:val="70F33611"/>
    <w:rsid w:val="711A0B9D"/>
    <w:rsid w:val="711C66C3"/>
    <w:rsid w:val="711D2C54"/>
    <w:rsid w:val="711F1D11"/>
    <w:rsid w:val="71221C3A"/>
    <w:rsid w:val="712A5284"/>
    <w:rsid w:val="712D6B22"/>
    <w:rsid w:val="713629EE"/>
    <w:rsid w:val="713B035C"/>
    <w:rsid w:val="71416BEE"/>
    <w:rsid w:val="714D0F73"/>
    <w:rsid w:val="7150636D"/>
    <w:rsid w:val="71573B9F"/>
    <w:rsid w:val="716167CC"/>
    <w:rsid w:val="71632544"/>
    <w:rsid w:val="71667953"/>
    <w:rsid w:val="71791D68"/>
    <w:rsid w:val="718129CA"/>
    <w:rsid w:val="71900E5F"/>
    <w:rsid w:val="71963B10"/>
    <w:rsid w:val="71A2244A"/>
    <w:rsid w:val="71A96DD3"/>
    <w:rsid w:val="71B65BA7"/>
    <w:rsid w:val="71B66B18"/>
    <w:rsid w:val="71B93CEA"/>
    <w:rsid w:val="71BC3A02"/>
    <w:rsid w:val="71CC7F1B"/>
    <w:rsid w:val="71DC5974"/>
    <w:rsid w:val="71E03B95"/>
    <w:rsid w:val="71E13469"/>
    <w:rsid w:val="71E371E1"/>
    <w:rsid w:val="71EE50B0"/>
    <w:rsid w:val="71EE5316"/>
    <w:rsid w:val="71F51F18"/>
    <w:rsid w:val="71F9046B"/>
    <w:rsid w:val="71FA5C5D"/>
    <w:rsid w:val="72005FE5"/>
    <w:rsid w:val="7200616A"/>
    <w:rsid w:val="72031996"/>
    <w:rsid w:val="720A6C4C"/>
    <w:rsid w:val="72104E4D"/>
    <w:rsid w:val="72141A90"/>
    <w:rsid w:val="7215436E"/>
    <w:rsid w:val="722019ED"/>
    <w:rsid w:val="722C54FD"/>
    <w:rsid w:val="72330169"/>
    <w:rsid w:val="72355CA7"/>
    <w:rsid w:val="723D4B43"/>
    <w:rsid w:val="7240773F"/>
    <w:rsid w:val="724966AF"/>
    <w:rsid w:val="72624770"/>
    <w:rsid w:val="72650A1A"/>
    <w:rsid w:val="72671BC0"/>
    <w:rsid w:val="726E73F3"/>
    <w:rsid w:val="72724173"/>
    <w:rsid w:val="72747E4B"/>
    <w:rsid w:val="72757AF8"/>
    <w:rsid w:val="72822E9E"/>
    <w:rsid w:val="72936E59"/>
    <w:rsid w:val="72987950"/>
    <w:rsid w:val="72A72905"/>
    <w:rsid w:val="72A921D9"/>
    <w:rsid w:val="72AB7C8C"/>
    <w:rsid w:val="72AC7F1B"/>
    <w:rsid w:val="72AF47BF"/>
    <w:rsid w:val="72B172DF"/>
    <w:rsid w:val="72B72B5D"/>
    <w:rsid w:val="72B73991"/>
    <w:rsid w:val="72B924D6"/>
    <w:rsid w:val="72BA2638"/>
    <w:rsid w:val="72BC63B0"/>
    <w:rsid w:val="72C139C6"/>
    <w:rsid w:val="72C708B1"/>
    <w:rsid w:val="72CD400C"/>
    <w:rsid w:val="72D134DE"/>
    <w:rsid w:val="72D57472"/>
    <w:rsid w:val="72E47B50"/>
    <w:rsid w:val="72EB459F"/>
    <w:rsid w:val="72EC0317"/>
    <w:rsid w:val="72F5541E"/>
    <w:rsid w:val="72F77CB0"/>
    <w:rsid w:val="72FC188C"/>
    <w:rsid w:val="73090EC9"/>
    <w:rsid w:val="7313701B"/>
    <w:rsid w:val="73137F9A"/>
    <w:rsid w:val="73147879"/>
    <w:rsid w:val="732775A1"/>
    <w:rsid w:val="732F7237"/>
    <w:rsid w:val="73353A6C"/>
    <w:rsid w:val="733C50A6"/>
    <w:rsid w:val="7353032E"/>
    <w:rsid w:val="73566A68"/>
    <w:rsid w:val="735D1407"/>
    <w:rsid w:val="73667409"/>
    <w:rsid w:val="73667E4A"/>
    <w:rsid w:val="736920DA"/>
    <w:rsid w:val="736E5286"/>
    <w:rsid w:val="73726A6F"/>
    <w:rsid w:val="737C5B3F"/>
    <w:rsid w:val="737F118B"/>
    <w:rsid w:val="73816170"/>
    <w:rsid w:val="738642C8"/>
    <w:rsid w:val="738812FC"/>
    <w:rsid w:val="738844E4"/>
    <w:rsid w:val="739509AF"/>
    <w:rsid w:val="739C1D3D"/>
    <w:rsid w:val="739D5344"/>
    <w:rsid w:val="73BE3A62"/>
    <w:rsid w:val="73CA3D68"/>
    <w:rsid w:val="73D2575F"/>
    <w:rsid w:val="73D32F9D"/>
    <w:rsid w:val="73E97C91"/>
    <w:rsid w:val="73F12089"/>
    <w:rsid w:val="73F90F3E"/>
    <w:rsid w:val="74026044"/>
    <w:rsid w:val="7404221B"/>
    <w:rsid w:val="74055B35"/>
    <w:rsid w:val="740D2C3B"/>
    <w:rsid w:val="74166A12"/>
    <w:rsid w:val="741C69DA"/>
    <w:rsid w:val="7421215F"/>
    <w:rsid w:val="7438486B"/>
    <w:rsid w:val="74393A30"/>
    <w:rsid w:val="74424693"/>
    <w:rsid w:val="744449AC"/>
    <w:rsid w:val="74485A21"/>
    <w:rsid w:val="74485D77"/>
    <w:rsid w:val="744F04F5"/>
    <w:rsid w:val="74555E4A"/>
    <w:rsid w:val="745D327B"/>
    <w:rsid w:val="74602D6B"/>
    <w:rsid w:val="74612BC0"/>
    <w:rsid w:val="74640AAD"/>
    <w:rsid w:val="746565D3"/>
    <w:rsid w:val="746A1E3C"/>
    <w:rsid w:val="7474361C"/>
    <w:rsid w:val="74760B3E"/>
    <w:rsid w:val="747D1B6F"/>
    <w:rsid w:val="7480340D"/>
    <w:rsid w:val="748C0004"/>
    <w:rsid w:val="74956EB9"/>
    <w:rsid w:val="749C3698"/>
    <w:rsid w:val="74A360A7"/>
    <w:rsid w:val="74A45A28"/>
    <w:rsid w:val="74A470FC"/>
    <w:rsid w:val="74B3579F"/>
    <w:rsid w:val="74CC76AA"/>
    <w:rsid w:val="74DD43BC"/>
    <w:rsid w:val="74E03EAC"/>
    <w:rsid w:val="74E7523A"/>
    <w:rsid w:val="74EC0AA3"/>
    <w:rsid w:val="74F87447"/>
    <w:rsid w:val="74F90479"/>
    <w:rsid w:val="75045DEC"/>
    <w:rsid w:val="750D2EF3"/>
    <w:rsid w:val="751002ED"/>
    <w:rsid w:val="75104791"/>
    <w:rsid w:val="751232C5"/>
    <w:rsid w:val="751D0C5C"/>
    <w:rsid w:val="751D6EAE"/>
    <w:rsid w:val="75237638"/>
    <w:rsid w:val="75244B75"/>
    <w:rsid w:val="752D5343"/>
    <w:rsid w:val="753F0BD2"/>
    <w:rsid w:val="75483F2B"/>
    <w:rsid w:val="75526C95"/>
    <w:rsid w:val="755A5A0C"/>
    <w:rsid w:val="75703482"/>
    <w:rsid w:val="75706FDE"/>
    <w:rsid w:val="757B4164"/>
    <w:rsid w:val="757E5B9F"/>
    <w:rsid w:val="75864A53"/>
    <w:rsid w:val="75882579"/>
    <w:rsid w:val="75986535"/>
    <w:rsid w:val="75A03EB7"/>
    <w:rsid w:val="75A31161"/>
    <w:rsid w:val="75B55338"/>
    <w:rsid w:val="75B82341"/>
    <w:rsid w:val="75C31803"/>
    <w:rsid w:val="75C64E50"/>
    <w:rsid w:val="75C86E1A"/>
    <w:rsid w:val="75C93EDB"/>
    <w:rsid w:val="75CD61DE"/>
    <w:rsid w:val="75D75EB9"/>
    <w:rsid w:val="75D94B83"/>
    <w:rsid w:val="75E029AD"/>
    <w:rsid w:val="75E17EDC"/>
    <w:rsid w:val="75E31EA6"/>
    <w:rsid w:val="75E51F71"/>
    <w:rsid w:val="75ED56C8"/>
    <w:rsid w:val="75F45E61"/>
    <w:rsid w:val="75FE6CDF"/>
    <w:rsid w:val="7614205F"/>
    <w:rsid w:val="761B00AC"/>
    <w:rsid w:val="7621652A"/>
    <w:rsid w:val="76233C7E"/>
    <w:rsid w:val="76236746"/>
    <w:rsid w:val="76375666"/>
    <w:rsid w:val="763B75EC"/>
    <w:rsid w:val="763C3364"/>
    <w:rsid w:val="763D5EC9"/>
    <w:rsid w:val="7658299A"/>
    <w:rsid w:val="76642E13"/>
    <w:rsid w:val="766703E1"/>
    <w:rsid w:val="76733229"/>
    <w:rsid w:val="767F53BF"/>
    <w:rsid w:val="768371E5"/>
    <w:rsid w:val="76864343"/>
    <w:rsid w:val="7696038A"/>
    <w:rsid w:val="76A05B2D"/>
    <w:rsid w:val="76A45BF5"/>
    <w:rsid w:val="76A5715B"/>
    <w:rsid w:val="76AA4771"/>
    <w:rsid w:val="76BD2C29"/>
    <w:rsid w:val="76C53359"/>
    <w:rsid w:val="76CC5BCF"/>
    <w:rsid w:val="76E94B0E"/>
    <w:rsid w:val="76EC6F5D"/>
    <w:rsid w:val="76F52AFE"/>
    <w:rsid w:val="76FB6D7B"/>
    <w:rsid w:val="76FD0D45"/>
    <w:rsid w:val="76FE0619"/>
    <w:rsid w:val="7706409E"/>
    <w:rsid w:val="77065E4C"/>
    <w:rsid w:val="77073972"/>
    <w:rsid w:val="77134B8E"/>
    <w:rsid w:val="7719242A"/>
    <w:rsid w:val="771C6067"/>
    <w:rsid w:val="7720462A"/>
    <w:rsid w:val="772067E2"/>
    <w:rsid w:val="772269FE"/>
    <w:rsid w:val="77297D8C"/>
    <w:rsid w:val="774463F4"/>
    <w:rsid w:val="77446B15"/>
    <w:rsid w:val="774A385E"/>
    <w:rsid w:val="774C7CA9"/>
    <w:rsid w:val="774E15A1"/>
    <w:rsid w:val="775C3CBE"/>
    <w:rsid w:val="77672662"/>
    <w:rsid w:val="776F6FC2"/>
    <w:rsid w:val="777830E2"/>
    <w:rsid w:val="777A789B"/>
    <w:rsid w:val="778009C3"/>
    <w:rsid w:val="77882D05"/>
    <w:rsid w:val="778D7592"/>
    <w:rsid w:val="778E5E41"/>
    <w:rsid w:val="779571D0"/>
    <w:rsid w:val="77972F48"/>
    <w:rsid w:val="77A2526D"/>
    <w:rsid w:val="77B655E8"/>
    <w:rsid w:val="77B6586B"/>
    <w:rsid w:val="77B77146"/>
    <w:rsid w:val="77B875B5"/>
    <w:rsid w:val="77BC29AE"/>
    <w:rsid w:val="77C81353"/>
    <w:rsid w:val="77C875A5"/>
    <w:rsid w:val="77CD4BBB"/>
    <w:rsid w:val="77D5782B"/>
    <w:rsid w:val="77DA1086"/>
    <w:rsid w:val="77E048EF"/>
    <w:rsid w:val="77E37923"/>
    <w:rsid w:val="77E67A2B"/>
    <w:rsid w:val="77EE068E"/>
    <w:rsid w:val="77F72CF1"/>
    <w:rsid w:val="77FB7AF5"/>
    <w:rsid w:val="780118C8"/>
    <w:rsid w:val="78046869"/>
    <w:rsid w:val="780B1240"/>
    <w:rsid w:val="78102539"/>
    <w:rsid w:val="781047D4"/>
    <w:rsid w:val="781369F7"/>
    <w:rsid w:val="78144598"/>
    <w:rsid w:val="78165BF2"/>
    <w:rsid w:val="781C344D"/>
    <w:rsid w:val="78280044"/>
    <w:rsid w:val="782D7408"/>
    <w:rsid w:val="78362761"/>
    <w:rsid w:val="783B1B25"/>
    <w:rsid w:val="783B42D7"/>
    <w:rsid w:val="784604CA"/>
    <w:rsid w:val="784B78AE"/>
    <w:rsid w:val="784F737E"/>
    <w:rsid w:val="785E0915"/>
    <w:rsid w:val="78743289"/>
    <w:rsid w:val="7875144E"/>
    <w:rsid w:val="78760DAF"/>
    <w:rsid w:val="7883527A"/>
    <w:rsid w:val="78931989"/>
    <w:rsid w:val="78934166"/>
    <w:rsid w:val="789456D9"/>
    <w:rsid w:val="78947487"/>
    <w:rsid w:val="78A3591C"/>
    <w:rsid w:val="78A43EAC"/>
    <w:rsid w:val="78A91841"/>
    <w:rsid w:val="78B14B20"/>
    <w:rsid w:val="78B97DC3"/>
    <w:rsid w:val="78BA61D2"/>
    <w:rsid w:val="78C25DA2"/>
    <w:rsid w:val="78C6574C"/>
    <w:rsid w:val="78CA0299"/>
    <w:rsid w:val="78D94E54"/>
    <w:rsid w:val="78DA6F15"/>
    <w:rsid w:val="78DE59AA"/>
    <w:rsid w:val="78F44C22"/>
    <w:rsid w:val="78F9553C"/>
    <w:rsid w:val="78FB5758"/>
    <w:rsid w:val="78FD1E3E"/>
    <w:rsid w:val="790243F1"/>
    <w:rsid w:val="79087FA7"/>
    <w:rsid w:val="790B4825"/>
    <w:rsid w:val="790F6B0E"/>
    <w:rsid w:val="79134850"/>
    <w:rsid w:val="79142376"/>
    <w:rsid w:val="791815CF"/>
    <w:rsid w:val="79196C78"/>
    <w:rsid w:val="791D56CF"/>
    <w:rsid w:val="79216733"/>
    <w:rsid w:val="792A3948"/>
    <w:rsid w:val="79323C14"/>
    <w:rsid w:val="79370A36"/>
    <w:rsid w:val="793A6280"/>
    <w:rsid w:val="793D7B1F"/>
    <w:rsid w:val="79492020"/>
    <w:rsid w:val="794E16AD"/>
    <w:rsid w:val="795C296F"/>
    <w:rsid w:val="795F7A95"/>
    <w:rsid w:val="79621333"/>
    <w:rsid w:val="796822CC"/>
    <w:rsid w:val="79690914"/>
    <w:rsid w:val="79773031"/>
    <w:rsid w:val="79784B91"/>
    <w:rsid w:val="797C27AB"/>
    <w:rsid w:val="797F6E89"/>
    <w:rsid w:val="7988027F"/>
    <w:rsid w:val="79982FA7"/>
    <w:rsid w:val="79A25E1B"/>
    <w:rsid w:val="79A454A8"/>
    <w:rsid w:val="79A61922"/>
    <w:rsid w:val="79A61F0E"/>
    <w:rsid w:val="79A67219"/>
    <w:rsid w:val="79A75717"/>
    <w:rsid w:val="79AB034E"/>
    <w:rsid w:val="79B650E3"/>
    <w:rsid w:val="79BC4EE7"/>
    <w:rsid w:val="79C16D0A"/>
    <w:rsid w:val="79CE4C1B"/>
    <w:rsid w:val="79D815F5"/>
    <w:rsid w:val="79DE2803"/>
    <w:rsid w:val="79EF706B"/>
    <w:rsid w:val="79FD2E0A"/>
    <w:rsid w:val="7A016D9E"/>
    <w:rsid w:val="7A0559C3"/>
    <w:rsid w:val="7A0F14BB"/>
    <w:rsid w:val="7A2465E9"/>
    <w:rsid w:val="7A252A8D"/>
    <w:rsid w:val="7A28257D"/>
    <w:rsid w:val="7A365817"/>
    <w:rsid w:val="7A3C074F"/>
    <w:rsid w:val="7A3C24AC"/>
    <w:rsid w:val="7A3F1373"/>
    <w:rsid w:val="7A456C8B"/>
    <w:rsid w:val="7A541030"/>
    <w:rsid w:val="7A574C10"/>
    <w:rsid w:val="7A5769BE"/>
    <w:rsid w:val="7A5C2227"/>
    <w:rsid w:val="7A5E5F9F"/>
    <w:rsid w:val="7A6376BF"/>
    <w:rsid w:val="7A6C4670"/>
    <w:rsid w:val="7A721A4A"/>
    <w:rsid w:val="7A7E03EF"/>
    <w:rsid w:val="7A801B3B"/>
    <w:rsid w:val="7A8208A6"/>
    <w:rsid w:val="7A8C5839"/>
    <w:rsid w:val="7A9279F6"/>
    <w:rsid w:val="7AA020C8"/>
    <w:rsid w:val="7AAD4830"/>
    <w:rsid w:val="7AB23BF5"/>
    <w:rsid w:val="7AB636E5"/>
    <w:rsid w:val="7AC1208A"/>
    <w:rsid w:val="7AC53928"/>
    <w:rsid w:val="7AC878BC"/>
    <w:rsid w:val="7ACA42CA"/>
    <w:rsid w:val="7ACC2F08"/>
    <w:rsid w:val="7ACE4721"/>
    <w:rsid w:val="7AD258DE"/>
    <w:rsid w:val="7AD95625"/>
    <w:rsid w:val="7ADB75EF"/>
    <w:rsid w:val="7ADD79A1"/>
    <w:rsid w:val="7AE70843"/>
    <w:rsid w:val="7AEA7832"/>
    <w:rsid w:val="7AEC0927"/>
    <w:rsid w:val="7AEC7106"/>
    <w:rsid w:val="7AF661D7"/>
    <w:rsid w:val="7AFE5097"/>
    <w:rsid w:val="7B0326A2"/>
    <w:rsid w:val="7B072192"/>
    <w:rsid w:val="7B1B5C3E"/>
    <w:rsid w:val="7B23530D"/>
    <w:rsid w:val="7B252618"/>
    <w:rsid w:val="7B450F0D"/>
    <w:rsid w:val="7B455661"/>
    <w:rsid w:val="7B476A33"/>
    <w:rsid w:val="7B586027"/>
    <w:rsid w:val="7B587327"/>
    <w:rsid w:val="7B5B603A"/>
    <w:rsid w:val="7B5B7588"/>
    <w:rsid w:val="7B5D1DB2"/>
    <w:rsid w:val="7B5F49A4"/>
    <w:rsid w:val="7B6020D8"/>
    <w:rsid w:val="7B62386D"/>
    <w:rsid w:val="7B6B4B23"/>
    <w:rsid w:val="7B6E0463"/>
    <w:rsid w:val="7B7315D6"/>
    <w:rsid w:val="7B735A7A"/>
    <w:rsid w:val="7B737828"/>
    <w:rsid w:val="7B7468FE"/>
    <w:rsid w:val="7B75534E"/>
    <w:rsid w:val="7B783090"/>
    <w:rsid w:val="7B846009"/>
    <w:rsid w:val="7B8732D3"/>
    <w:rsid w:val="7B881C93"/>
    <w:rsid w:val="7B8C18EA"/>
    <w:rsid w:val="7B8E2715"/>
    <w:rsid w:val="7B931C78"/>
    <w:rsid w:val="7B94598A"/>
    <w:rsid w:val="7B9513A5"/>
    <w:rsid w:val="7BA63759"/>
    <w:rsid w:val="7BA75723"/>
    <w:rsid w:val="7BB1183B"/>
    <w:rsid w:val="7BB8348D"/>
    <w:rsid w:val="7BBC3062"/>
    <w:rsid w:val="7BBC5603"/>
    <w:rsid w:val="7BC2430B"/>
    <w:rsid w:val="7BD81D81"/>
    <w:rsid w:val="7BDB63FB"/>
    <w:rsid w:val="7BE6624C"/>
    <w:rsid w:val="7BEC2E3C"/>
    <w:rsid w:val="7BFC5A6F"/>
    <w:rsid w:val="7BFC781D"/>
    <w:rsid w:val="7C020DFA"/>
    <w:rsid w:val="7C224DAA"/>
    <w:rsid w:val="7C23124E"/>
    <w:rsid w:val="7C2A25DC"/>
    <w:rsid w:val="7C2C0D6F"/>
    <w:rsid w:val="7C356822"/>
    <w:rsid w:val="7C4D0079"/>
    <w:rsid w:val="7C5F74F0"/>
    <w:rsid w:val="7C5F7DAC"/>
    <w:rsid w:val="7C613B24"/>
    <w:rsid w:val="7C686C61"/>
    <w:rsid w:val="7C6B6751"/>
    <w:rsid w:val="7C6C58C7"/>
    <w:rsid w:val="7C6C7F95"/>
    <w:rsid w:val="7C6D67BF"/>
    <w:rsid w:val="7C743857"/>
    <w:rsid w:val="7C791AC8"/>
    <w:rsid w:val="7C7F31FF"/>
    <w:rsid w:val="7C80044E"/>
    <w:rsid w:val="7C810E54"/>
    <w:rsid w:val="7C9E08D4"/>
    <w:rsid w:val="7CA11E26"/>
    <w:rsid w:val="7CB44AE9"/>
    <w:rsid w:val="7CB4634A"/>
    <w:rsid w:val="7CC16371"/>
    <w:rsid w:val="7CC7607D"/>
    <w:rsid w:val="7CCA73A5"/>
    <w:rsid w:val="7CD21EA3"/>
    <w:rsid w:val="7CD24A22"/>
    <w:rsid w:val="7CE42605"/>
    <w:rsid w:val="7CEC7892"/>
    <w:rsid w:val="7D034BDB"/>
    <w:rsid w:val="7D0C3A90"/>
    <w:rsid w:val="7D0C5FD8"/>
    <w:rsid w:val="7D0F187B"/>
    <w:rsid w:val="7D2A2168"/>
    <w:rsid w:val="7D2E01E1"/>
    <w:rsid w:val="7D311748"/>
    <w:rsid w:val="7D3134F6"/>
    <w:rsid w:val="7D427BF7"/>
    <w:rsid w:val="7D490123"/>
    <w:rsid w:val="7D4C20DE"/>
    <w:rsid w:val="7D4D5E56"/>
    <w:rsid w:val="7D515947"/>
    <w:rsid w:val="7D554381"/>
    <w:rsid w:val="7D637428"/>
    <w:rsid w:val="7D6466DF"/>
    <w:rsid w:val="7D717D97"/>
    <w:rsid w:val="7D7942D0"/>
    <w:rsid w:val="7D796C4C"/>
    <w:rsid w:val="7D7E4647"/>
    <w:rsid w:val="7D827CD7"/>
    <w:rsid w:val="7D910439"/>
    <w:rsid w:val="7D937D0D"/>
    <w:rsid w:val="7D974D3C"/>
    <w:rsid w:val="7D9B7C1F"/>
    <w:rsid w:val="7D9F624F"/>
    <w:rsid w:val="7DA168CE"/>
    <w:rsid w:val="7DA55C93"/>
    <w:rsid w:val="7DAC2998"/>
    <w:rsid w:val="7DAE4B47"/>
    <w:rsid w:val="7DB677E9"/>
    <w:rsid w:val="7DB87774"/>
    <w:rsid w:val="7DC13C2A"/>
    <w:rsid w:val="7DCB56F9"/>
    <w:rsid w:val="7DCD6B6E"/>
    <w:rsid w:val="7DD00F61"/>
    <w:rsid w:val="7DD72298"/>
    <w:rsid w:val="7DDF11A4"/>
    <w:rsid w:val="7DE42B56"/>
    <w:rsid w:val="7DE45EBF"/>
    <w:rsid w:val="7DED1B13"/>
    <w:rsid w:val="7DFD162B"/>
    <w:rsid w:val="7E1322EF"/>
    <w:rsid w:val="7E1500EE"/>
    <w:rsid w:val="7E301A00"/>
    <w:rsid w:val="7E4A06B1"/>
    <w:rsid w:val="7E4F507E"/>
    <w:rsid w:val="7E505BFE"/>
    <w:rsid w:val="7E525E1A"/>
    <w:rsid w:val="7E553215"/>
    <w:rsid w:val="7E5F5E41"/>
    <w:rsid w:val="7E633B84"/>
    <w:rsid w:val="7E6B0C8A"/>
    <w:rsid w:val="7E7C4C45"/>
    <w:rsid w:val="7E81400A"/>
    <w:rsid w:val="7E830C8A"/>
    <w:rsid w:val="7E88183C"/>
    <w:rsid w:val="7E885398"/>
    <w:rsid w:val="7E8D29AE"/>
    <w:rsid w:val="7EA146AC"/>
    <w:rsid w:val="7EA55CBC"/>
    <w:rsid w:val="7EA8642E"/>
    <w:rsid w:val="7EB0467E"/>
    <w:rsid w:val="7EB20CD2"/>
    <w:rsid w:val="7EBF4B32"/>
    <w:rsid w:val="7ED14F91"/>
    <w:rsid w:val="7ED36F67"/>
    <w:rsid w:val="7ED3780E"/>
    <w:rsid w:val="7EDE530B"/>
    <w:rsid w:val="7EE34CC4"/>
    <w:rsid w:val="7EEB5927"/>
    <w:rsid w:val="7EF3682B"/>
    <w:rsid w:val="7EF46ED2"/>
    <w:rsid w:val="7EF944E8"/>
    <w:rsid w:val="7EFB200E"/>
    <w:rsid w:val="7EFE565A"/>
    <w:rsid w:val="7F0215EE"/>
    <w:rsid w:val="7F0D3CA5"/>
    <w:rsid w:val="7F120D31"/>
    <w:rsid w:val="7F175454"/>
    <w:rsid w:val="7F1B26B0"/>
    <w:rsid w:val="7F207CC7"/>
    <w:rsid w:val="7F253E0B"/>
    <w:rsid w:val="7F2C666B"/>
    <w:rsid w:val="7F2F7211"/>
    <w:rsid w:val="7F315C4E"/>
    <w:rsid w:val="7F3379FA"/>
    <w:rsid w:val="7F370B6C"/>
    <w:rsid w:val="7F3948E4"/>
    <w:rsid w:val="7F3C5C4D"/>
    <w:rsid w:val="7F3E2DC8"/>
    <w:rsid w:val="7F45772D"/>
    <w:rsid w:val="7F4D213E"/>
    <w:rsid w:val="7F4E65E2"/>
    <w:rsid w:val="7F5C11A2"/>
    <w:rsid w:val="7F686F78"/>
    <w:rsid w:val="7F741D29"/>
    <w:rsid w:val="7F741DC0"/>
    <w:rsid w:val="7F761695"/>
    <w:rsid w:val="7F790711"/>
    <w:rsid w:val="7F7918EC"/>
    <w:rsid w:val="7F7B2EF8"/>
    <w:rsid w:val="7F7B314F"/>
    <w:rsid w:val="7F9164CE"/>
    <w:rsid w:val="7F947D6D"/>
    <w:rsid w:val="7F9935D5"/>
    <w:rsid w:val="7FBD5515"/>
    <w:rsid w:val="7FC27AD0"/>
    <w:rsid w:val="7FC83DD7"/>
    <w:rsid w:val="7FD5465B"/>
    <w:rsid w:val="7FDA60C7"/>
    <w:rsid w:val="7FDC1E3F"/>
    <w:rsid w:val="7FE231CE"/>
    <w:rsid w:val="7FEC7BA9"/>
    <w:rsid w:val="7FF151BF"/>
    <w:rsid w:val="7FF627D5"/>
    <w:rsid w:val="7FF92582"/>
    <w:rsid w:val="7FF95ED7"/>
    <w:rsid w:val="7FFA0518"/>
    <w:rsid w:val="7FFE2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autoSpaceDN/>
      <w:adjustRightInd w:val="0"/>
      <w:snapToGrid w:val="0"/>
      <w:spacing w:line="360" w:lineRule="auto"/>
      <w:ind w:firstLine="480" w:firstLineChars="200"/>
      <w:jc w:val="both"/>
      <w:textAlignment w:val="baseline"/>
    </w:pPr>
    <w:rPr>
      <w:rFonts w:ascii="Times New Roman" w:hAnsi="Times New Roman" w:eastAsia="宋体" w:cs="Times New Roman"/>
      <w:snapToGrid w:val="0"/>
      <w:color w:val="000000"/>
      <w:kern w:val="0"/>
      <w:sz w:val="24"/>
      <w:szCs w:val="21"/>
      <w:lang w:val="en-US" w:eastAsia="en-US" w:bidi="ar-SA"/>
    </w:rPr>
  </w:style>
  <w:style w:type="paragraph" w:styleId="2">
    <w:name w:val="heading 1"/>
    <w:basedOn w:val="1"/>
    <w:next w:val="1"/>
    <w:qFormat/>
    <w:uiPriority w:val="0"/>
    <w:pPr>
      <w:keepNext/>
      <w:keepLines/>
      <w:pageBreakBefore/>
      <w:spacing w:beforeAutospacing="0" w:after="0" w:afterLines="0" w:afterAutospacing="0" w:line="360" w:lineRule="auto"/>
      <w:ind w:firstLine="0" w:firstLineChars="0"/>
      <w:outlineLvl w:val="0"/>
    </w:pPr>
    <w:rPr>
      <w:rFonts w:ascii="Times New Roman" w:hAnsi="Times New Roman" w:eastAsia="宋体"/>
      <w:b/>
      <w:kern w:val="44"/>
      <w:sz w:val="28"/>
      <w:szCs w:val="36"/>
    </w:rPr>
  </w:style>
  <w:style w:type="paragraph" w:styleId="3">
    <w:name w:val="heading 2"/>
    <w:basedOn w:val="1"/>
    <w:next w:val="1"/>
    <w:unhideWhenUsed/>
    <w:qFormat/>
    <w:uiPriority w:val="0"/>
    <w:pPr>
      <w:keepNext/>
      <w:keepLines/>
      <w:spacing w:beforeAutospacing="0" w:after="0" w:afterLines="0" w:afterAutospacing="0" w:line="360" w:lineRule="auto"/>
      <w:ind w:firstLine="0" w:firstLineChars="0"/>
      <w:outlineLvl w:val="1"/>
    </w:pPr>
    <w:rPr>
      <w:rFonts w:ascii="Times New Roman" w:hAnsi="Times New Roman" w:eastAsia="宋体"/>
      <w:b/>
    </w:rPr>
  </w:style>
  <w:style w:type="paragraph" w:styleId="4">
    <w:name w:val="heading 3"/>
    <w:basedOn w:val="1"/>
    <w:next w:val="1"/>
    <w:unhideWhenUsed/>
    <w:qFormat/>
    <w:uiPriority w:val="0"/>
    <w:pPr>
      <w:keepNext/>
      <w:keepLines/>
      <w:spacing w:before="0" w:beforeLines="0" w:beforeAutospacing="0" w:after="0" w:afterLines="0" w:afterAutospacing="0" w:line="360" w:lineRule="auto"/>
      <w:ind w:firstLine="0" w:firstLineChars="0"/>
      <w:jc w:val="both"/>
      <w:outlineLvl w:val="2"/>
    </w:pPr>
    <w:rPr>
      <w:rFonts w:ascii="Times New Roman" w:hAnsi="Times New Roman" w:eastAsia="宋体"/>
      <w:b/>
    </w:rPr>
  </w:style>
  <w:style w:type="paragraph" w:styleId="5">
    <w:name w:val="heading 4"/>
    <w:basedOn w:val="1"/>
    <w:next w:val="1"/>
    <w:unhideWhenUsed/>
    <w:qFormat/>
    <w:uiPriority w:val="0"/>
    <w:pPr>
      <w:keepNext/>
      <w:keepLines/>
      <w:spacing w:before="50" w:beforeLines="50" w:beforeAutospacing="0" w:after="0" w:afterLines="0" w:afterAutospacing="0" w:line="360" w:lineRule="auto"/>
      <w:ind w:firstLine="0" w:firstLineChars="0"/>
      <w:outlineLvl w:val="3"/>
    </w:pPr>
    <w:rPr>
      <w:rFonts w:ascii="Times New Roman" w:hAnsi="Times New Roman" w:eastAsia="宋体"/>
      <w:b/>
    </w:rPr>
  </w:style>
  <w:style w:type="paragraph" w:styleId="6">
    <w:name w:val="heading 5"/>
    <w:basedOn w:val="1"/>
    <w:next w:val="1"/>
    <w:unhideWhenUsed/>
    <w:qFormat/>
    <w:uiPriority w:val="0"/>
    <w:pPr>
      <w:keepNext/>
      <w:keepLines/>
      <w:spacing w:beforeLines="0" w:beforeAutospacing="0" w:afterLines="0" w:afterAutospacing="0" w:line="360" w:lineRule="auto"/>
      <w:ind w:firstLine="0" w:firstLineChars="0"/>
      <w:outlineLvl w:val="4"/>
    </w:pPr>
    <w:rPr>
      <w:rFonts w:ascii="Times New Roman" w:hAnsi="Times New Roman" w:eastAsia="宋体"/>
      <w:b/>
      <w:sz w:val="24"/>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7">
    <w:name w:val="annotation text"/>
    <w:basedOn w:val="1"/>
    <w:qFormat/>
    <w:uiPriority w:val="0"/>
    <w:pPr>
      <w:jc w:val="left"/>
    </w:pPr>
  </w:style>
  <w:style w:type="paragraph" w:styleId="8">
    <w:name w:val="toc 3"/>
    <w:basedOn w:val="1"/>
    <w:next w:val="1"/>
    <w:qFormat/>
    <w:uiPriority w:val="0"/>
    <w:pPr>
      <w:ind w:left="840" w:leftChars="40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link w:val="2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link w:val="31"/>
    <w:qFormat/>
    <w:uiPriority w:val="0"/>
  </w:style>
  <w:style w:type="paragraph" w:styleId="12">
    <w:name w:val="toc 2"/>
    <w:basedOn w:val="1"/>
    <w:next w:val="1"/>
    <w:qFormat/>
    <w:uiPriority w:val="39"/>
    <w:pPr>
      <w:spacing w:line="360" w:lineRule="auto"/>
      <w:ind w:left="200"/>
    </w:pPr>
    <w:rPr>
      <w:kern w:val="1"/>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Hyperlink"/>
    <w:basedOn w:val="16"/>
    <w:qFormat/>
    <w:uiPriority w:val="0"/>
    <w:rPr>
      <w:color w:val="0000FF"/>
      <w:u w:val="single"/>
    </w:rPr>
  </w:style>
  <w:style w:type="character" w:styleId="19">
    <w:name w:val="annotation reference"/>
    <w:qFormat/>
    <w:uiPriority w:val="0"/>
    <w:rPr>
      <w:sz w:val="21"/>
    </w:rPr>
  </w:style>
  <w:style w:type="table" w:customStyle="1" w:styleId="20">
    <w:name w:val="Table Normal"/>
    <w:semiHidden/>
    <w:unhideWhenUsed/>
    <w:qFormat/>
    <w:uiPriority w:val="0"/>
    <w:tblPr>
      <w:tblCellMar>
        <w:top w:w="0" w:type="dxa"/>
        <w:left w:w="0" w:type="dxa"/>
        <w:bottom w:w="0" w:type="dxa"/>
        <w:right w:w="0" w:type="dxa"/>
      </w:tblCellMar>
    </w:tblPr>
  </w:style>
  <w:style w:type="paragraph" w:customStyle="1" w:styleId="21">
    <w:name w:val="表头"/>
    <w:basedOn w:val="1"/>
    <w:link w:val="28"/>
    <w:qFormat/>
    <w:uiPriority w:val="0"/>
    <w:pPr>
      <w:spacing w:before="50" w:beforeLines="50" w:line="240" w:lineRule="auto"/>
      <w:ind w:firstLine="0" w:firstLineChars="0"/>
      <w:jc w:val="center"/>
      <w:outlineLvl w:val="5"/>
    </w:pPr>
    <w:rPr>
      <w:b/>
      <w:bCs/>
      <w:szCs w:val="24"/>
    </w:rPr>
  </w:style>
  <w:style w:type="character" w:customStyle="1" w:styleId="22">
    <w:name w:val="页眉 Char"/>
    <w:link w:val="10"/>
    <w:qFormat/>
    <w:uiPriority w:val="0"/>
    <w:rPr>
      <w:sz w:val="18"/>
    </w:rPr>
  </w:style>
  <w:style w:type="paragraph" w:customStyle="1" w:styleId="23">
    <w:name w:val="表格"/>
    <w:basedOn w:val="1"/>
    <w:link w:val="26"/>
    <w:qFormat/>
    <w:uiPriority w:val="0"/>
    <w:pPr>
      <w:adjustRightInd w:val="0"/>
      <w:snapToGrid w:val="0"/>
      <w:spacing w:line="320" w:lineRule="exact"/>
      <w:ind w:firstLine="0" w:firstLineChars="0"/>
      <w:jc w:val="center"/>
      <w:textAlignment w:val="center"/>
    </w:pPr>
    <w:rPr>
      <w:sz w:val="21"/>
    </w:rPr>
  </w:style>
  <w:style w:type="paragraph" w:customStyle="1" w:styleId="24">
    <w:name w:val="图"/>
    <w:basedOn w:val="1"/>
    <w:qFormat/>
    <w:uiPriority w:val="0"/>
    <w:pPr>
      <w:spacing w:before="50" w:beforeLines="50" w:line="240" w:lineRule="auto"/>
      <w:ind w:firstLine="0" w:firstLineChars="0"/>
      <w:jc w:val="center"/>
    </w:pPr>
    <w:rPr>
      <w:rFonts w:ascii="Times New Roman" w:hAnsi="Times New Roman" w:eastAsia="宋体"/>
      <w:szCs w:val="24"/>
    </w:rPr>
  </w:style>
  <w:style w:type="paragraph" w:customStyle="1" w:styleId="25">
    <w:name w:val="图名"/>
    <w:basedOn w:val="1"/>
    <w:link w:val="27"/>
    <w:qFormat/>
    <w:uiPriority w:val="0"/>
    <w:pPr>
      <w:ind w:firstLine="0" w:firstLineChars="0"/>
      <w:jc w:val="center"/>
      <w:outlineLvl w:val="5"/>
    </w:pPr>
    <w:rPr>
      <w:rFonts w:ascii="Times New Roman" w:hAnsi="Times New Roman" w:eastAsia="宋体"/>
      <w:b/>
      <w:szCs w:val="24"/>
    </w:rPr>
  </w:style>
  <w:style w:type="character" w:customStyle="1" w:styleId="26">
    <w:name w:val="表格 Char"/>
    <w:link w:val="23"/>
    <w:qFormat/>
    <w:uiPriority w:val="0"/>
    <w:rPr>
      <w:sz w:val="21"/>
    </w:rPr>
  </w:style>
  <w:style w:type="character" w:customStyle="1" w:styleId="27">
    <w:name w:val="图名 Char"/>
    <w:link w:val="25"/>
    <w:qFormat/>
    <w:uiPriority w:val="0"/>
    <w:rPr>
      <w:rFonts w:ascii="Times New Roman" w:hAnsi="Times New Roman" w:eastAsia="宋体"/>
      <w:b/>
      <w:szCs w:val="24"/>
    </w:rPr>
  </w:style>
  <w:style w:type="character" w:customStyle="1" w:styleId="28">
    <w:name w:val="表头 Char"/>
    <w:link w:val="21"/>
    <w:qFormat/>
    <w:uiPriority w:val="0"/>
    <w:rPr>
      <w:b/>
      <w:bCs/>
      <w:szCs w:val="24"/>
    </w:rPr>
  </w:style>
  <w:style w:type="paragraph" w:customStyle="1" w:styleId="29">
    <w:name w:val="附件"/>
    <w:basedOn w:val="1"/>
    <w:link w:val="30"/>
    <w:qFormat/>
    <w:uiPriority w:val="0"/>
    <w:pPr>
      <w:spacing w:line="240" w:lineRule="auto"/>
      <w:ind w:firstLine="0" w:firstLineChars="0"/>
      <w:jc w:val="both"/>
      <w:outlineLvl w:val="6"/>
    </w:pPr>
    <w:rPr>
      <w:rFonts w:hint="eastAsia" w:ascii="Times New Roman" w:hAnsi="Times New Roman" w:eastAsia="宋体"/>
      <w:b/>
      <w:szCs w:val="24"/>
      <w:lang w:eastAsia="zh-CN"/>
    </w:rPr>
  </w:style>
  <w:style w:type="character" w:customStyle="1" w:styleId="30">
    <w:name w:val="附件 Char"/>
    <w:link w:val="29"/>
    <w:qFormat/>
    <w:uiPriority w:val="0"/>
    <w:rPr>
      <w:rFonts w:hint="eastAsia" w:ascii="Times New Roman" w:hAnsi="Times New Roman" w:eastAsia="宋体"/>
      <w:b/>
      <w:szCs w:val="24"/>
      <w:lang w:eastAsia="zh-CN"/>
    </w:rPr>
  </w:style>
  <w:style w:type="character" w:customStyle="1" w:styleId="31">
    <w:name w:val="目录 1 Char"/>
    <w:link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8.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64</Pages>
  <Words>12934</Words>
  <Characters>15424</Characters>
  <TotalTime>8</TotalTime>
  <ScaleCrop>false</ScaleCrop>
  <LinksUpToDate>false</LinksUpToDate>
  <CharactersWithSpaces>15739</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2020-04-17T16:45:00Z</dcterms:created>
  <dc:creator>TCL</dc:creator>
  <cp:lastModifiedBy>吴媛媛</cp:lastModifiedBy>
  <dcterms:modified xsi:type="dcterms:W3CDTF">2024-10-24T07:00:12Z</dcterms:modified>
  <dc:title>重庆市建设项目环境保护</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2023-05-12T08:53:03Z</vt:filetime>
  </property>
  <property fmtid="{D5CDD505-2E9C-101B-9397-08002B2CF9AE}" pid="4" name="KSOProductBuildVer">
    <vt:lpwstr>2052-12.1.0.18608</vt:lpwstr>
  </property>
  <property fmtid="{D5CDD505-2E9C-101B-9397-08002B2CF9AE}" pid="5" name="ICV">
    <vt:lpwstr>40963E0468DE4D9E8A2403B1ED4F3A43_12</vt:lpwstr>
  </property>
</Properties>
</file>